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bidi w:val="0"/>
        <w:rPr>
          <w:rFonts w:hint="eastAsia"/>
          <w:lang w:val="en-US" w:eastAsia="zh-CN"/>
        </w:rPr>
      </w:pPr>
      <w:bookmarkStart w:id="0" w:name="DBMark2"/>
      <w:r>
        <w:rPr>
          <w:rFonts w:hint="eastAsia" w:ascii="黑体" w:hAnsi="Times New Roman" w:eastAsia="黑体" w:cs="Times New Roman"/>
          <w:sz w:val="48"/>
          <w:lang w:val="en-US" w:eastAsia="zh-CN"/>
        </w:rPr>
        <w:fldChar w:fldCharType="begin">
          <w:ffData>
            <w:name w:val="DBMark2"/>
            <w:enabled/>
            <w:calcOnExit w:val="0"/>
            <w:textInput>
              <w:default w:val="山西省"/>
            </w:textInput>
          </w:ffData>
        </w:fldChar>
      </w:r>
      <w:r>
        <w:rPr>
          <w:rFonts w:hint="eastAsia" w:ascii="黑体" w:hAnsi="Times New Roman" w:eastAsia="黑体" w:cs="Times New Roman"/>
          <w:sz w:val="48"/>
          <w:lang w:val="en-US" w:eastAsia="zh-CN"/>
        </w:rPr>
        <w:instrText xml:space="preserve">FORMTEXT</w:instrText>
      </w:r>
      <w:r>
        <w:rPr>
          <w:rFonts w:hint="eastAsia" w:ascii="黑体" w:hAnsi="Times New Roman" w:eastAsia="黑体" w:cs="Times New Roman"/>
          <w:sz w:val="48"/>
          <w:lang w:val="en-US" w:eastAsia="zh-CN"/>
        </w:rPr>
        <w:fldChar w:fldCharType="separate"/>
      </w:r>
      <w:r>
        <w:rPr>
          <w:rFonts w:hint="eastAsia" w:ascii="黑体" w:hAnsi="Times New Roman" w:eastAsia="黑体" w:cs="Times New Roman"/>
          <w:sz w:val="48"/>
          <w:lang w:val="en-US" w:eastAsia="zh-CN"/>
        </w:rPr>
        <w:t>山西省</w:t>
      </w:r>
      <w:r>
        <w:rPr>
          <w:rFonts w:hint="eastAsia" w:ascii="黑体" w:hAnsi="Times New Roman" w:eastAsia="黑体" w:cs="Times New Roman"/>
          <w:sz w:val="48"/>
          <w:lang w:val="en-US" w:eastAsia="zh-CN"/>
        </w:rPr>
        <w:fldChar w:fldCharType="end"/>
      </w:r>
      <w:bookmarkEnd w:id="0"/>
      <w:r>
        <w:rPr>
          <w:rFonts w:hint="eastAsia"/>
          <w:lang w:val="en-US" w:eastAsia="zh-CN"/>
        </w:rPr>
        <w:t>地方标准</w:t>
      </w:r>
    </w:p>
    <w:p>
      <w:pPr>
        <w:pStyle w:val="39"/>
        <w:bidi w:val="0"/>
        <w:rPr>
          <w:rFonts w:hint="eastAsia"/>
          <w:lang w:val="en-US" w:eastAsia="zh-CN"/>
        </w:rPr>
      </w:pPr>
      <w:bookmarkStart w:id="1" w:name="StandNo"/>
      <w:r>
        <w:rPr>
          <w:rFonts w:hint="eastAsia" w:ascii="黑体" w:hAnsi="Times New Roman" w:eastAsia="黑体" w:cs="Times New Roman"/>
          <w:sz w:val="28"/>
          <w:lang w:val="en-US" w:eastAsia="zh-CN"/>
        </w:rPr>
        <w:fldChar w:fldCharType="begin">
          <w:ffData>
            <w:name w:val="StandNo"/>
            <w:enabled/>
            <w:calcOnExit w:val="0"/>
            <w:textInput>
              <w:default w:val="DB14/T XXX—2024"/>
            </w:textInput>
          </w:ffData>
        </w:fldChar>
      </w:r>
      <w:r>
        <w:rPr>
          <w:rFonts w:hint="eastAsia" w:ascii="黑体" w:hAnsi="Times New Roman" w:eastAsia="黑体" w:cs="Times New Roman"/>
          <w:sz w:val="28"/>
          <w:lang w:val="en-US" w:eastAsia="zh-CN"/>
        </w:rPr>
        <w:instrText xml:space="preserve">FORMTEXT</w:instrText>
      </w:r>
      <w:r>
        <w:rPr>
          <w:rFonts w:hint="eastAsia" w:ascii="黑体" w:hAnsi="Times New Roman" w:eastAsia="黑体" w:cs="Times New Roman"/>
          <w:sz w:val="28"/>
          <w:lang w:val="en-US" w:eastAsia="zh-CN"/>
        </w:rPr>
        <w:fldChar w:fldCharType="separate"/>
      </w:r>
      <w:r>
        <w:rPr>
          <w:rFonts w:hint="eastAsia" w:ascii="黑体" w:hAnsi="Times New Roman" w:eastAsia="黑体" w:cs="Times New Roman"/>
          <w:sz w:val="28"/>
          <w:lang w:val="en-US" w:eastAsia="zh-CN"/>
        </w:rPr>
        <w:t>DB14/T XXX—2024</w:t>
      </w:r>
      <w:r>
        <w:rPr>
          <w:rFonts w:hint="eastAsia" w:ascii="黑体" w:hAnsi="Times New Roman" w:eastAsia="黑体" w:cs="Times New Roman"/>
          <w:sz w:val="28"/>
          <w:lang w:val="en-US" w:eastAsia="zh-CN"/>
        </w:rPr>
        <w:fldChar w:fldCharType="end"/>
      </w:r>
      <w:bookmarkEnd w:id="1"/>
    </w:p>
    <w:p>
      <w:pPr>
        <w:pStyle w:val="38"/>
        <w:bidi w:val="0"/>
        <w:rPr>
          <w:rFonts w:hint="eastAsia"/>
          <w:lang w:val="en-US" w:eastAsia="zh-CN"/>
        </w:rPr>
      </w:pPr>
      <w:r>
        <w:rPr>
          <w:rFonts w:hint="eastAsia"/>
          <w:lang w:val="en-US" w:eastAsia="zh-CN"/>
        </w:rPr>
        <w:fldChar w:fldCharType="begin">
          <w:ffData>
            <w:name w:val="ReplaceDB"/>
            <w:enabled/>
            <w:calcOnExit w:val="0"/>
            <w:textInput/>
          </w:ffData>
        </w:fldChar>
      </w:r>
      <w:bookmarkStart w:id="2" w:name="ReplaceDB"/>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2"/>
    </w:p>
    <w:tbl>
      <w:tblPr>
        <w:tblStyle w:val="20"/>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9889" w:type="dxa"/>
            <w:tcBorders>
              <w:top w:val="single" w:color="auto" w:sz="8" w:space="0"/>
            </w:tcBorders>
          </w:tcPr>
          <w:p>
            <w:pPr>
              <w:pStyle w:val="33"/>
              <w:bidi w:val="0"/>
              <w:rPr>
                <w:rFonts w:hint="eastAsia"/>
                <w:sz w:val="10"/>
                <w:vertAlign w:val="baseline"/>
                <w:lang w:val="en-US" w:eastAsia="zh-CN"/>
              </w:rPr>
            </w:pPr>
          </w:p>
        </w:tc>
      </w:tr>
    </w:tbl>
    <w:p>
      <w:pPr>
        <w:pStyle w:val="40"/>
        <w:bidi w:val="0"/>
        <w:rPr>
          <w:rFonts w:hint="eastAsia"/>
          <w:lang w:val="en-US" w:eastAsia="zh-CN"/>
        </w:rPr>
      </w:pPr>
      <w:r>
        <w:rPr>
          <w:rFonts w:hint="eastAsia"/>
          <w:lang w:val="en-US" w:eastAsia="zh-CN"/>
        </w:rPr>
        <w:fldChar w:fldCharType="begin">
          <w:ffData>
            <w:name w:val="StdName"/>
            <w:enabled/>
            <w:calcOnExit w:val="0"/>
            <w:textInput>
              <w:default w:val="甘薯产地环境评价技术规范"/>
            </w:textInput>
          </w:ffData>
        </w:fldChar>
      </w:r>
      <w:bookmarkStart w:id="3" w:name="StdName"/>
      <w:r>
        <w:rPr>
          <w:rFonts w:hint="eastAsia"/>
          <w:lang w:val="en-US" w:eastAsia="zh-CN"/>
        </w:rPr>
        <w:instrText xml:space="preserve">FORMTEXT</w:instrText>
      </w:r>
      <w:r>
        <w:rPr>
          <w:rFonts w:hint="eastAsia"/>
          <w:lang w:val="en-US" w:eastAsia="zh-CN"/>
        </w:rPr>
        <w:fldChar w:fldCharType="separate"/>
      </w:r>
      <w:r>
        <w:rPr>
          <w:rFonts w:hint="eastAsia"/>
          <w:lang w:val="en-US" w:eastAsia="zh-CN"/>
        </w:rPr>
        <w:t>甘薯产地环境评价技术规范</w:t>
      </w:r>
      <w:r>
        <w:rPr>
          <w:rFonts w:hint="eastAsia"/>
          <w:lang w:val="en-US" w:eastAsia="zh-CN"/>
        </w:rPr>
        <w:fldChar w:fldCharType="end"/>
      </w:r>
      <w:bookmarkEnd w:id="3"/>
    </w:p>
    <w:p>
      <w:pPr>
        <w:pStyle w:val="41"/>
        <w:bidi w:val="0"/>
        <w:rPr>
          <w:rFonts w:hint="eastAsia"/>
          <w:lang w:val="en-US" w:eastAsia="zh-CN"/>
        </w:rPr>
      </w:pPr>
    </w:p>
    <w:p>
      <w:pPr>
        <w:pStyle w:val="42"/>
        <w:bidi w:val="0"/>
        <w:rPr>
          <w:rFonts w:hint="eastAsia"/>
          <w:lang w:val="en-US" w:eastAsia="zh-CN"/>
        </w:rPr>
      </w:pPr>
    </w:p>
    <w:p>
      <w:pPr>
        <w:pStyle w:val="43"/>
        <w:bidi w:val="0"/>
        <w:spacing w:after="0"/>
        <w:rPr>
          <w:rFonts w:hint="eastAsia"/>
          <w:lang w:val="en-US" w:eastAsia="zh-CN"/>
        </w:rPr>
      </w:pPr>
      <w:bookmarkStart w:id="4" w:name="LB"/>
      <w:r>
        <w:rPr>
          <w:rFonts w:hint="eastAsia" w:ascii="宋体" w:hAnsi="宋体" w:eastAsia="宋体" w:cs="宋体"/>
          <w:sz w:val="24"/>
          <w:lang w:val="en-US" w:eastAsia="zh-CN"/>
        </w:rPr>
        <w:fldChar w:fldCharType="begin">
          <w:ffData>
            <w:name w:val="LB"/>
            <w:enabled/>
            <w:calcOnExit w:val="0"/>
            <w:ddList>
              <w:listEntry w:val="（征求意见稿）"/>
              <w:listEntry w:val="     "/>
              <w:listEntry w:val="草案版次选择"/>
              <w:listEntry w:val="（工作组讨论稿）"/>
              <w:listEntry w:val="（送审讨论稿）"/>
              <w:listEntry w:val="（送审稿）"/>
              <w:listEntry w:val="（报批稿）"/>
            </w:ddList>
          </w:ffData>
        </w:fldChar>
      </w:r>
      <w:r>
        <w:rPr>
          <w:rFonts w:hint="eastAsia" w:ascii="宋体" w:hAnsi="宋体" w:eastAsia="宋体" w:cs="宋体"/>
          <w:sz w:val="24"/>
          <w:lang w:val="en-US" w:eastAsia="zh-CN"/>
        </w:rPr>
        <w:instrText xml:space="preserve">FORMDROPDOWN</w:instrText>
      </w:r>
      <w:r>
        <w:rPr>
          <w:rFonts w:hint="eastAsia" w:ascii="宋体" w:hAnsi="宋体" w:eastAsia="宋体" w:cs="宋体"/>
          <w:sz w:val="24"/>
          <w:lang w:val="en-US" w:eastAsia="zh-CN"/>
        </w:rPr>
        <w:fldChar w:fldCharType="separate"/>
      </w:r>
      <w:r>
        <w:rPr>
          <w:rFonts w:hint="eastAsia" w:ascii="宋体" w:hAnsi="宋体" w:eastAsia="宋体" w:cs="宋体"/>
          <w:sz w:val="24"/>
          <w:lang w:val="en-US" w:eastAsia="zh-CN"/>
        </w:rPr>
        <w:fldChar w:fldCharType="end"/>
      </w:r>
      <w:bookmarkEnd w:id="4"/>
    </w:p>
    <w:p>
      <w:pPr>
        <w:pStyle w:val="44"/>
        <w:bidi w:val="0"/>
        <w:spacing w:before="100"/>
        <w:rPr>
          <w:rFonts w:hint="eastAsia"/>
          <w:lang w:val="en-US" w:eastAsia="zh-CN"/>
        </w:rPr>
      </w:pPr>
      <w:r>
        <w:rPr>
          <w:rFonts w:hint="eastAsia"/>
          <w:lang w:val="en-US" w:eastAsia="zh-CN"/>
        </w:rPr>
        <w:fldChar w:fldCharType="begin">
          <w:ffData>
            <w:name w:val="WCRQ"/>
            <w:enabled/>
            <w:calcOnExit w:val="0"/>
            <w:textInput/>
          </w:ffData>
        </w:fldChar>
      </w:r>
      <w:bookmarkStart w:id="5" w:name="WCRQ"/>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5"/>
    </w:p>
    <w:p>
      <w:pPr>
        <w:pStyle w:val="45"/>
        <w:bidi w:val="0"/>
        <w:spacing w:before="687" w:beforeLines="220"/>
        <w:rPr>
          <w:rFonts w:hint="eastAsia"/>
          <w:lang w:val="en-US" w:eastAsia="zh-CN"/>
        </w:rPr>
      </w:pPr>
      <w:r>
        <w:rPr>
          <w:rFonts w:hint="eastAsia"/>
          <w:lang w:val="en-US" w:eastAsia="zh-CN"/>
        </w:rPr>
        <w:fldChar w:fldCharType="begin">
          <w:ffData>
            <w:name w:val="FileSelect"/>
            <w:enabled/>
            <w:calcOnExit w:val="0"/>
            <w:ddList>
              <w:result w:val="1"/>
              <w:default w:val="1"/>
              <w:listEntry w:val="     "/>
              <w:listEntry w:val="在提交反馈意见时，请将您知道的相关专利连同支持性文件一件附上。"/>
            </w:ddList>
          </w:ffData>
        </w:fldChar>
      </w:r>
      <w:bookmarkStart w:id="6" w:name="FileSelect"/>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6"/>
    </w:p>
    <w:tbl>
      <w:tblPr>
        <w:tblStyle w:val="20"/>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3" w:hRule="exact"/>
        </w:trPr>
        <w:tc>
          <w:tcPr>
            <w:tcW w:w="4944" w:type="dxa"/>
            <w:tcBorders>
              <w:bottom w:val="single" w:color="auto" w:sz="8" w:space="0"/>
            </w:tcBorders>
            <w:tcMar>
              <w:left w:w="57" w:type="dxa"/>
              <w:bottom w:w="28" w:type="dxa"/>
            </w:tcMar>
          </w:tcPr>
          <w:p>
            <w:pPr>
              <w:pStyle w:val="37"/>
              <w:bidi w:val="0"/>
              <w:rPr>
                <w:rFonts w:hint="eastAsia"/>
                <w:vertAlign w:val="baseline"/>
                <w:lang w:val="en-US" w:eastAsia="zh-CN"/>
              </w:rPr>
            </w:pPr>
            <w:r>
              <w:rPr>
                <w:rFonts w:hint="eastAsia"/>
                <w:vertAlign w:val="baseline"/>
                <w:lang w:val="en-US" w:eastAsia="zh-CN"/>
              </w:rPr>
              <w:fldChar w:fldCharType="begin">
                <w:ffData>
                  <w:name w:val="FY"/>
                  <w:enabled/>
                  <w:calcOnExit w:val="0"/>
                  <w:textInput>
                    <w:default w:val="XXXX"/>
                    <w:maxLength w:val="4"/>
                  </w:textInput>
                </w:ffData>
              </w:fldChar>
            </w:r>
            <w:bookmarkStart w:id="7" w:name="F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7"/>
            <w:r>
              <w:rPr>
                <w:rFonts w:hint="eastAsia"/>
                <w:vertAlign w:val="baseline"/>
                <w:lang w:val="en-US" w:eastAsia="zh-CN"/>
              </w:rPr>
              <w:t xml:space="preserve"> - </w:t>
            </w:r>
            <w:r>
              <w:rPr>
                <w:rFonts w:hint="eastAsia"/>
                <w:vertAlign w:val="baseline"/>
                <w:lang w:val="en-US" w:eastAsia="zh-CN"/>
              </w:rPr>
              <w:fldChar w:fldCharType="begin">
                <w:ffData>
                  <w:name w:val="FM"/>
                  <w:enabled/>
                  <w:calcOnExit w:val="0"/>
                  <w:textInput>
                    <w:default w:val="XX"/>
                    <w:maxLength w:val="2"/>
                  </w:textInput>
                </w:ffData>
              </w:fldChar>
            </w:r>
            <w:bookmarkStart w:id="8" w:name="F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8"/>
            <w:r>
              <w:rPr>
                <w:rFonts w:hint="eastAsia"/>
                <w:vertAlign w:val="baseline"/>
                <w:lang w:val="en-US" w:eastAsia="zh-CN"/>
              </w:rPr>
              <w:t xml:space="preserve"> - </w:t>
            </w:r>
            <w:r>
              <w:rPr>
                <w:rFonts w:hint="eastAsia"/>
                <w:vertAlign w:val="baseline"/>
                <w:lang w:val="en-US" w:eastAsia="zh-CN"/>
              </w:rPr>
              <w:fldChar w:fldCharType="begin">
                <w:ffData>
                  <w:name w:val="FD"/>
                  <w:enabled/>
                  <w:calcOnExit w:val="0"/>
                  <w:textInput>
                    <w:default w:val="XX"/>
                    <w:maxLength w:val="2"/>
                  </w:textInput>
                </w:ffData>
              </w:fldChar>
            </w:r>
            <w:bookmarkStart w:id="9" w:name="F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9"/>
            <w:r>
              <w:rPr>
                <w:rFonts w:hint="eastAsia"/>
                <w:vertAlign w:val="baseline"/>
                <w:lang w:val="en-US" w:eastAsia="zh-CN"/>
              </w:rPr>
              <w:t xml:space="preserve"> 发布</w:t>
            </w:r>
          </w:p>
        </w:tc>
        <w:tc>
          <w:tcPr>
            <w:tcW w:w="4945" w:type="dxa"/>
            <w:tcBorders>
              <w:bottom w:val="single" w:color="auto" w:sz="8" w:space="0"/>
            </w:tcBorders>
            <w:tcMar>
              <w:right w:w="57" w:type="dxa"/>
            </w:tcMar>
          </w:tcPr>
          <w:p>
            <w:pPr>
              <w:pStyle w:val="37"/>
              <w:bidi w:val="0"/>
              <w:jc w:val="right"/>
              <w:rPr>
                <w:rFonts w:hint="eastAsia"/>
                <w:vertAlign w:val="baseline"/>
                <w:lang w:val="en-US" w:eastAsia="zh-CN"/>
              </w:rPr>
            </w:pPr>
            <w:r>
              <w:rPr>
                <w:rFonts w:hint="eastAsia"/>
                <w:vertAlign w:val="baseline"/>
                <w:lang w:val="en-US" w:eastAsia="zh-CN"/>
              </w:rPr>
              <w:fldChar w:fldCharType="begin">
                <w:ffData>
                  <w:name w:val="SY"/>
                  <w:enabled/>
                  <w:calcOnExit w:val="0"/>
                  <w:textInput>
                    <w:default w:val="XXXX"/>
                    <w:maxLength w:val="4"/>
                  </w:textInput>
                </w:ffData>
              </w:fldChar>
            </w:r>
            <w:bookmarkStart w:id="10" w:name="S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10"/>
            <w:r>
              <w:rPr>
                <w:rFonts w:hint="eastAsia"/>
                <w:vertAlign w:val="baseline"/>
                <w:lang w:val="en-US" w:eastAsia="zh-CN"/>
              </w:rPr>
              <w:t xml:space="preserve"> - </w:t>
            </w:r>
            <w:r>
              <w:rPr>
                <w:rFonts w:hint="eastAsia"/>
                <w:vertAlign w:val="baseline"/>
                <w:lang w:val="en-US" w:eastAsia="zh-CN"/>
              </w:rPr>
              <w:fldChar w:fldCharType="begin">
                <w:ffData>
                  <w:name w:val="SM"/>
                  <w:enabled/>
                  <w:calcOnExit w:val="0"/>
                  <w:textInput>
                    <w:default w:val="XX"/>
                    <w:maxLength w:val="2"/>
                  </w:textInput>
                </w:ffData>
              </w:fldChar>
            </w:r>
            <w:bookmarkStart w:id="11" w:name="S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1"/>
            <w:r>
              <w:rPr>
                <w:rFonts w:hint="eastAsia"/>
                <w:vertAlign w:val="baseline"/>
                <w:lang w:val="en-US" w:eastAsia="zh-CN"/>
              </w:rPr>
              <w:t xml:space="preserve"> - </w:t>
            </w:r>
            <w:r>
              <w:rPr>
                <w:rFonts w:hint="eastAsia"/>
                <w:vertAlign w:val="baseline"/>
                <w:lang w:val="en-US" w:eastAsia="zh-CN"/>
              </w:rPr>
              <w:fldChar w:fldCharType="begin">
                <w:ffData>
                  <w:name w:val="SD"/>
                  <w:enabled/>
                  <w:calcOnExit w:val="0"/>
                  <w:textInput>
                    <w:default w:val="XX"/>
                    <w:maxLength w:val="2"/>
                  </w:textInput>
                </w:ffData>
              </w:fldChar>
            </w:r>
            <w:bookmarkStart w:id="12" w:name="S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2"/>
            <w:r>
              <w:rPr>
                <w:rFonts w:hint="eastAsia"/>
                <w:vertAlign w:val="baseline"/>
                <w:lang w:val="en-US" w:eastAsia="zh-CN"/>
              </w:rPr>
              <w:t xml:space="preserve"> 实施</w:t>
            </w:r>
          </w:p>
        </w:tc>
      </w:tr>
    </w:tbl>
    <w:p>
      <w:pPr>
        <w:pStyle w:val="47"/>
        <w:bidi w:val="0"/>
        <w:spacing w:before="0"/>
        <w:rPr>
          <w:rFonts w:hint="eastAsia"/>
          <w:spacing w:val="0"/>
          <w:w w:val="100"/>
          <w:sz w:val="28"/>
          <w:lang w:val="en-US" w:eastAsia="zh-CN"/>
        </w:rPr>
      </w:pPr>
      <w:bookmarkStart w:id="13" w:name="FM2"/>
      <w:r>
        <w:rPr>
          <w:rFonts w:hint="eastAsia" w:ascii="黑体" w:hAnsi="黑体" w:eastAsia="黑体" w:cs="Times New Roman"/>
          <w:spacing w:val="0"/>
          <w:w w:val="100"/>
          <w:sz w:val="28"/>
          <w:lang w:val="en-US" w:eastAsia="zh-CN"/>
        </w:rPr>
        <w:fldChar w:fldCharType="begin">
          <w:ffData>
            <w:name w:val="FM2"/>
            <w:enabled/>
            <w:calcOnExit w:val="0"/>
            <w:textInput>
              <w:default w:val="山西省市场监督管理局"/>
            </w:textInput>
          </w:ffData>
        </w:fldChar>
      </w:r>
      <w:r>
        <w:rPr>
          <w:rFonts w:hint="eastAsia" w:ascii="黑体" w:hAnsi="黑体" w:eastAsia="黑体" w:cs="Times New Roman"/>
          <w:spacing w:val="0"/>
          <w:w w:val="100"/>
          <w:sz w:val="28"/>
          <w:lang w:val="en-US" w:eastAsia="zh-CN"/>
        </w:rPr>
        <w:instrText xml:space="preserve">FORMTEXT</w:instrText>
      </w:r>
      <w:r>
        <w:rPr>
          <w:rFonts w:hint="eastAsia" w:ascii="黑体" w:hAnsi="黑体" w:eastAsia="黑体" w:cs="Times New Roman"/>
          <w:spacing w:val="0"/>
          <w:w w:val="100"/>
          <w:sz w:val="28"/>
          <w:lang w:val="en-US" w:eastAsia="zh-CN"/>
        </w:rPr>
        <w:fldChar w:fldCharType="separate"/>
      </w:r>
      <w:r>
        <w:rPr>
          <w:rFonts w:hint="eastAsia" w:ascii="黑体" w:hAnsi="黑体" w:eastAsia="黑体" w:cs="Times New Roman"/>
          <w:spacing w:val="0"/>
          <w:w w:val="100"/>
          <w:sz w:val="28"/>
          <w:lang w:val="en-US" w:eastAsia="zh-CN"/>
        </w:rPr>
        <w:t>山西省市场监督管理局</w:t>
      </w:r>
      <w:r>
        <w:rPr>
          <w:rFonts w:hint="eastAsia" w:ascii="黑体" w:hAnsi="黑体" w:eastAsia="黑体" w:cs="Times New Roman"/>
          <w:spacing w:val="0"/>
          <w:w w:val="100"/>
          <w:sz w:val="28"/>
          <w:lang w:val="en-US" w:eastAsia="zh-CN"/>
        </w:rPr>
        <w:fldChar w:fldCharType="end"/>
      </w:r>
      <w:bookmarkEnd w:id="13"/>
      <w:r>
        <w:rPr>
          <w:rFonts w:hint="eastAsia"/>
          <w:sz w:val="28"/>
          <w:lang w:val="en-US" w:eastAsia="zh-CN"/>
        </w:rPr>
        <w:t>  </w:t>
      </w:r>
      <w:r>
        <w:rPr>
          <w:rFonts w:hint="eastAsia"/>
          <w:spacing w:val="85"/>
          <w:w w:val="100"/>
          <w:sz w:val="28"/>
          <w:lang w:val="en-US" w:eastAsia="zh-CN"/>
        </w:rPr>
        <w:t>发</w:t>
      </w:r>
      <w:r>
        <w:rPr>
          <w:rFonts w:hint="eastAsia"/>
          <w:spacing w:val="0"/>
          <w:w w:val="100"/>
          <w:sz w:val="28"/>
          <w:lang w:val="en-US" w:eastAsia="zh-CN"/>
        </w:rPr>
        <w:t>布</w:t>
      </w:r>
    </w:p>
    <w:tbl>
      <w:tblPr>
        <w:tblStyle w:val="2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pPr>
              <w:pStyle w:val="51"/>
              <w:framePr w:w="9639"/>
              <w:bidi w:val="0"/>
              <w:rPr>
                <w:rFonts w:hint="eastAsia"/>
                <w:vertAlign w:val="baseline"/>
                <w:lang w:val="en-US" w:eastAsia="zh-CN"/>
              </w:rPr>
            </w:pPr>
            <w:r>
              <w:rPr>
                <w:rFonts w:hint="eastAsia"/>
                <w:vertAlign w:val="baseline"/>
                <w:lang w:val="en-US" w:eastAsia="zh-CN"/>
              </w:rPr>
              <w:t>ICS</w:t>
            </w:r>
          </w:p>
        </w:tc>
        <w:tc>
          <w:tcPr>
            <w:tcW w:w="9107" w:type="dxa"/>
          </w:tcPr>
          <w:p>
            <w:pPr>
              <w:pStyle w:val="51"/>
              <w:framePr w:w="9639"/>
              <w:bidi w:val="0"/>
              <w:rPr>
                <w:rFonts w:hint="eastAsia"/>
                <w:vertAlign w:val="baseline"/>
                <w:lang w:val="en-US" w:eastAsia="zh-CN"/>
              </w:rPr>
            </w:pPr>
            <w:bookmarkStart w:id="14" w:name="ICS"/>
            <w:r>
              <w:rPr>
                <w:rFonts w:hint="eastAsia" w:ascii="Times New Roman" w:hAnsi="Times New Roman" w:eastAsia="黑体" w:cs="Times New Roman"/>
                <w:kern w:val="21"/>
                <w:sz w:val="21"/>
                <w:vertAlign w:val="baseline"/>
                <w:lang w:val="en-US" w:eastAsia="zh-CN"/>
              </w:rPr>
              <w:fldChar w:fldCharType="begin">
                <w:ffData>
                  <w:name w:val="ICS"/>
                  <w:enabled/>
                  <w:calcOnExit w:val="0"/>
                  <w:textInput>
                    <w:default w:val="65.020.01"/>
                  </w:textInput>
                </w:ffData>
              </w:fldChar>
            </w:r>
            <w:r>
              <w:rPr>
                <w:rFonts w:hint="eastAsia" w:ascii="Times New Roman" w:hAnsi="Times New Roman" w:eastAsia="黑体" w:cs="Times New Roman"/>
                <w:kern w:val="21"/>
                <w:sz w:val="21"/>
                <w:vertAlign w:val="baseline"/>
                <w:lang w:val="en-US" w:eastAsia="zh-CN"/>
              </w:rPr>
              <w:instrText xml:space="preserve">FORMTEXT</w:instrText>
            </w:r>
            <w:r>
              <w:rPr>
                <w:rFonts w:hint="eastAsia" w:ascii="Times New Roman" w:hAnsi="Times New Roman" w:eastAsia="黑体" w:cs="Times New Roman"/>
                <w:kern w:val="21"/>
                <w:sz w:val="21"/>
                <w:vertAlign w:val="baseline"/>
                <w:lang w:val="en-US" w:eastAsia="zh-CN"/>
              </w:rPr>
              <w:fldChar w:fldCharType="separate"/>
            </w:r>
            <w:r>
              <w:rPr>
                <w:rFonts w:hint="eastAsia" w:ascii="Times New Roman" w:hAnsi="Times New Roman" w:eastAsia="黑体" w:cs="Times New Roman"/>
                <w:kern w:val="21"/>
                <w:sz w:val="21"/>
                <w:vertAlign w:val="baseline"/>
                <w:lang w:val="en-US" w:eastAsia="zh-CN"/>
              </w:rPr>
              <w:t>65.020.01</w:t>
            </w:r>
            <w:r>
              <w:rPr>
                <w:rFonts w:hint="eastAsia" w:ascii="Times New Roman" w:hAnsi="Times New Roman" w:eastAsia="黑体" w:cs="Times New Roman"/>
                <w:kern w:val="21"/>
                <w:sz w:val="21"/>
                <w:vertAlign w:val="baseline"/>
                <w:lang w:val="en-US" w:eastAsia="zh-CN"/>
              </w:rPr>
              <w:fldChar w:fldCharType="end"/>
            </w:r>
            <w:bookmarkEnd w:id="14"/>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pPr>
              <w:pStyle w:val="51"/>
              <w:framePr w:w="9639"/>
              <w:bidi w:val="0"/>
              <w:rPr>
                <w:rFonts w:hint="eastAsia"/>
                <w:vertAlign w:val="baseline"/>
                <w:lang w:val="en-US" w:eastAsia="zh-CN"/>
              </w:rPr>
            </w:pPr>
            <w:r>
              <w:rPr>
                <w:rFonts w:hint="eastAsia"/>
                <w:vertAlign w:val="baseline"/>
                <w:lang w:val="en-US" w:eastAsia="zh-CN"/>
              </w:rPr>
              <w:t>CCS</w:t>
            </w:r>
          </w:p>
        </w:tc>
        <w:tc>
          <w:tcPr>
            <w:tcW w:w="9107" w:type="dxa"/>
          </w:tcPr>
          <w:p>
            <w:pPr>
              <w:pStyle w:val="51"/>
              <w:framePr w:w="9639"/>
              <w:bidi w:val="0"/>
              <w:rPr>
                <w:rFonts w:hint="eastAsia"/>
                <w:vertAlign w:val="baseline"/>
                <w:lang w:val="en-US" w:eastAsia="zh-CN"/>
              </w:rPr>
            </w:pPr>
            <w:bookmarkStart w:id="15" w:name="CCS"/>
            <w:r>
              <w:rPr>
                <w:rFonts w:hint="eastAsia" w:ascii="Times New Roman" w:hAnsi="Times New Roman" w:eastAsia="黑体" w:cs="Times New Roman"/>
                <w:kern w:val="21"/>
                <w:sz w:val="21"/>
                <w:vertAlign w:val="baseline"/>
                <w:lang w:val="en-US" w:eastAsia="zh-CN"/>
              </w:rPr>
              <w:fldChar w:fldCharType="begin">
                <w:ffData>
                  <w:name w:val="CCS"/>
                  <w:enabled/>
                  <w:calcOnExit w:val="0"/>
                  <w:textInput>
                    <w:default w:val="B 09"/>
                  </w:textInput>
                </w:ffData>
              </w:fldChar>
            </w:r>
            <w:r>
              <w:rPr>
                <w:rFonts w:hint="eastAsia" w:ascii="Times New Roman" w:hAnsi="Times New Roman" w:eastAsia="黑体" w:cs="Times New Roman"/>
                <w:kern w:val="21"/>
                <w:sz w:val="21"/>
                <w:vertAlign w:val="baseline"/>
                <w:lang w:val="en-US" w:eastAsia="zh-CN"/>
              </w:rPr>
              <w:instrText xml:space="preserve">FORMTEXT</w:instrText>
            </w:r>
            <w:r>
              <w:rPr>
                <w:rFonts w:hint="eastAsia" w:ascii="Times New Roman" w:hAnsi="Times New Roman" w:eastAsia="黑体" w:cs="Times New Roman"/>
                <w:kern w:val="21"/>
                <w:sz w:val="21"/>
                <w:vertAlign w:val="baseline"/>
                <w:lang w:val="en-US" w:eastAsia="zh-CN"/>
              </w:rPr>
              <w:fldChar w:fldCharType="separate"/>
            </w:r>
            <w:r>
              <w:rPr>
                <w:rFonts w:hint="eastAsia" w:ascii="Times New Roman" w:hAnsi="Times New Roman" w:eastAsia="黑体" w:cs="Times New Roman"/>
                <w:kern w:val="21"/>
                <w:sz w:val="21"/>
                <w:vertAlign w:val="baseline"/>
                <w:lang w:val="en-US" w:eastAsia="zh-CN"/>
              </w:rPr>
              <w:t>B 09</w:t>
            </w:r>
            <w:r>
              <w:rPr>
                <w:rFonts w:hint="eastAsia" w:ascii="Times New Roman" w:hAnsi="Times New Roman" w:eastAsia="黑体" w:cs="Times New Roman"/>
                <w:kern w:val="21"/>
                <w:sz w:val="21"/>
                <w:vertAlign w:val="baseline"/>
                <w:lang w:val="en-US" w:eastAsia="zh-CN"/>
              </w:rPr>
              <w:fldChar w:fldCharType="end"/>
            </w:r>
            <w:bookmarkEnd w:id="15"/>
          </w:p>
          <w:tbl>
            <w:tblPr>
              <w:tblStyle w:val="20"/>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pPr>
                    <w:pStyle w:val="51"/>
                    <w:framePr w:w="9639"/>
                    <w:bidi w:val="0"/>
                    <w:jc w:val="right"/>
                    <w:rPr>
                      <w:rFonts w:hint="eastAsia" w:ascii="Times New Roman" w:hAnsi="Times New Roman" w:eastAsia="宋体" w:cs="Times New Roman"/>
                      <w:b/>
                      <w:w w:val="130"/>
                      <w:kern w:val="0"/>
                      <w:sz w:val="21"/>
                      <w:vertAlign w:val="baseline"/>
                      <w:lang w:val="en-US" w:eastAsia="zh-CN"/>
                    </w:rPr>
                  </w:pPr>
                  <w:r>
                    <w:rPr>
                      <w:rFonts w:hint="eastAsia" w:ascii="Times New Roman" w:hAnsi="Times New Roman" w:eastAsia="宋体" w:cs="Times New Roman"/>
                      <w:b/>
                      <w:w w:val="130"/>
                      <w:kern w:val="0"/>
                      <w:sz w:val="96"/>
                      <w:vertAlign w:val="baseline"/>
                      <w:lang w:val="en-US" w:eastAsia="zh-CN"/>
                    </w:rPr>
                    <w:drawing>
                      <wp:inline distT="0" distB="0" distL="114300" distR="114300">
                        <wp:extent cx="798195" cy="399415"/>
                        <wp:effectExtent l="0" t="0" r="1905" b="635"/>
                        <wp:docPr id="4" name="图片 4" descr="地标"/>
                        <wp:cNvGraphicFramePr/>
                        <a:graphic xmlns:a="http://schemas.openxmlformats.org/drawingml/2006/main">
                          <a:graphicData uri="http://schemas.openxmlformats.org/drawingml/2006/picture">
                            <pic:pic xmlns:pic="http://schemas.openxmlformats.org/drawingml/2006/picture">
                              <pic:nvPicPr>
                                <pic:cNvPr id="4" name="图片 4" descr="地标"/>
                                <pic:cNvPicPr/>
                              </pic:nvPicPr>
                              <pic:blipFill>
                                <a:blip r:embed="rId6"/>
                                <a:stretch>
                                  <a:fillRect/>
                                </a:stretch>
                              </pic:blipFill>
                              <pic:spPr>
                                <a:xfrm>
                                  <a:off x="0" y="0"/>
                                  <a:ext cx="798195" cy="399415"/>
                                </a:xfrm>
                                <a:prstGeom prst="rect">
                                  <a:avLst/>
                                </a:prstGeom>
                              </pic:spPr>
                            </pic:pic>
                          </a:graphicData>
                        </a:graphic>
                      </wp:inline>
                    </w:drawing>
                  </w:r>
                  <w:r>
                    <w:rPr>
                      <w:rFonts w:hint="eastAsia" w:eastAsia="宋体" w:cs="Times New Roman"/>
                      <w:b/>
                      <w:w w:val="130"/>
                      <w:kern w:val="0"/>
                      <w:sz w:val="21"/>
                      <w:vertAlign w:val="baseline"/>
                      <w:lang w:val="en-US" w:eastAsia="zh-CN"/>
                    </w:rPr>
                    <w:t xml:space="preserve"> </w:t>
                  </w:r>
                  <w:bookmarkStart w:id="16" w:name="DBMark"/>
                  <w:r>
                    <w:rPr>
                      <w:rFonts w:hint="eastAsia" w:ascii="Times New Roman" w:hAnsi="Times New Roman" w:eastAsia="宋体" w:cs="Times New Roman"/>
                      <w:b/>
                      <w:w w:val="130"/>
                      <w:kern w:val="0"/>
                      <w:sz w:val="96"/>
                      <w:vertAlign w:val="baseline"/>
                      <w:lang w:val="en-US" w:eastAsia="zh-CN"/>
                    </w:rPr>
                    <w:fldChar w:fldCharType="begin">
                      <w:ffData>
                        <w:name w:val="DBMark"/>
                        <w:enabled/>
                        <w:calcOnExit w:val="0"/>
                        <w:textInput>
                          <w:default w:val="14"/>
                          <w:maxLength w:val="8"/>
                        </w:textInput>
                      </w:ffData>
                    </w:fldChar>
                  </w:r>
                  <w:r>
                    <w:rPr>
                      <w:rFonts w:hint="eastAsia" w:ascii="Times New Roman" w:hAnsi="Times New Roman" w:eastAsia="宋体" w:cs="Times New Roman"/>
                      <w:b/>
                      <w:w w:val="130"/>
                      <w:kern w:val="0"/>
                      <w:sz w:val="96"/>
                      <w:vertAlign w:val="baseline"/>
                      <w:lang w:val="en-US" w:eastAsia="zh-CN"/>
                    </w:rPr>
                    <w:instrText xml:space="preserve">FORMTEXT</w:instrText>
                  </w:r>
                  <w:r>
                    <w:rPr>
                      <w:rFonts w:hint="eastAsia" w:ascii="Times New Roman" w:hAnsi="Times New Roman" w:eastAsia="宋体" w:cs="Times New Roman"/>
                      <w:b/>
                      <w:w w:val="130"/>
                      <w:kern w:val="0"/>
                      <w:sz w:val="96"/>
                      <w:vertAlign w:val="baseline"/>
                      <w:lang w:val="en-US" w:eastAsia="zh-CN"/>
                    </w:rPr>
                    <w:fldChar w:fldCharType="separate"/>
                  </w:r>
                  <w:r>
                    <w:rPr>
                      <w:rFonts w:hint="eastAsia" w:ascii="Times New Roman" w:hAnsi="Times New Roman" w:eastAsia="宋体" w:cs="Times New Roman"/>
                      <w:b/>
                      <w:w w:val="130"/>
                      <w:kern w:val="0"/>
                      <w:sz w:val="96"/>
                      <w:vertAlign w:val="baseline"/>
                      <w:lang w:val="en-US" w:eastAsia="zh-CN"/>
                    </w:rPr>
                    <w:t>14</w:t>
                  </w:r>
                  <w:r>
                    <w:rPr>
                      <w:rFonts w:hint="eastAsia" w:ascii="Times New Roman" w:hAnsi="Times New Roman" w:eastAsia="宋体" w:cs="Times New Roman"/>
                      <w:b/>
                      <w:w w:val="130"/>
                      <w:kern w:val="0"/>
                      <w:sz w:val="96"/>
                      <w:vertAlign w:val="baseline"/>
                      <w:lang w:val="en-US" w:eastAsia="zh-CN"/>
                    </w:rPr>
                    <w:fldChar w:fldCharType="end"/>
                  </w:r>
                  <w:bookmarkEnd w:id="16"/>
                </w:p>
              </w:tc>
            </w:tr>
          </w:tbl>
          <w:p>
            <w:pPr>
              <w:pStyle w:val="51"/>
              <w:framePr w:w="9639"/>
              <w:bidi w:val="0"/>
              <w:rPr>
                <w:rFonts w:hint="eastAsia"/>
                <w:vertAlign w:val="baseline"/>
                <w:lang w:val="en-US" w:eastAsia="zh-CN"/>
              </w:rPr>
            </w:pPr>
          </w:p>
        </w:tc>
      </w:tr>
    </w:tbl>
    <w:p>
      <w:pPr>
        <w:pStyle w:val="51"/>
        <w:framePr w:w="9639"/>
        <w:bidi w:val="0"/>
        <w:rPr>
          <w:rFonts w:hint="eastAsia"/>
          <w:lang w:val="en-US" w:eastAsia="zh-CN"/>
        </w:rPr>
        <w:sectPr>
          <w:pgSz w:w="11906" w:h="16838"/>
          <w:pgMar w:top="-340" w:right="1134" w:bottom="1021" w:left="1134" w:header="0" w:footer="0" w:gutter="284"/>
          <w:lnNumType w:countBy="0" w:restart="continuous"/>
          <w:pgNumType w:fmt="decimal" w:start="1"/>
          <w:cols w:space="425" w:num="1"/>
          <w:titlePg/>
          <w:docGrid w:type="lines" w:linePitch="312" w:charSpace="0"/>
        </w:sectPr>
      </w:pPr>
    </w:p>
    <w:p>
      <w:pPr>
        <w:pStyle w:val="52"/>
        <w:bidi w:val="0"/>
        <w:rPr>
          <w:rFonts w:hint="eastAsia"/>
          <w:b w:val="0"/>
          <w:bCs/>
          <w:lang w:val="en-US" w:eastAsia="zh-CN"/>
        </w:rPr>
      </w:pPr>
      <w:r>
        <w:rPr>
          <w:rFonts w:hint="eastAsia"/>
          <w:b w:val="0"/>
          <w:bCs/>
          <w:spacing w:val="317"/>
          <w:lang w:val="en-US" w:eastAsia="zh-CN"/>
        </w:rPr>
        <w:t>目</w:t>
      </w:r>
      <w:bookmarkStart w:id="17" w:name="BKML"/>
      <w:r>
        <w:rPr>
          <w:rFonts w:hint="eastAsia"/>
          <w:b w:val="0"/>
          <w:bCs/>
          <w:lang w:val="en-US" w:eastAsia="zh-CN"/>
        </w:rPr>
        <w:t>次</w:t>
      </w:r>
      <w:bookmarkEnd w:id="17"/>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TOC \t "标准文件_前言、引言标题,1,标准文件_章标题,1,标准文件_附录标识,1,标准文件_参考文献标题,1,标准文件_索引标题,1" \h</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_Toc2563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前言</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_Toc2563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II</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_Toc32586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1</w:t>
      </w:r>
      <w:r>
        <w:rPr>
          <w:rFonts w:hint="eastAsia" w:cs="宋体"/>
          <w:b w:val="0"/>
          <w:bCs/>
          <w:spacing w:val="0"/>
          <w:lang w:val="en-US" w:eastAsia="zh-CN"/>
        </w:rPr>
        <w:t xml:space="preserve"> </w:t>
      </w:r>
      <w:r>
        <w:rPr>
          <w:rFonts w:hint="eastAsia" w:ascii="宋体" w:hAnsi="宋体" w:eastAsia="宋体" w:cs="宋体"/>
          <w:b w:val="0"/>
          <w:bCs/>
          <w:spacing w:val="0"/>
          <w:lang w:val="en-US" w:eastAsia="zh-CN"/>
        </w:rPr>
        <w:t xml:space="preserve"> 范围</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_Toc32586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1</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_Toc13695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2</w:t>
      </w:r>
      <w:r>
        <w:rPr>
          <w:rFonts w:hint="eastAsia" w:cs="宋体"/>
          <w:b w:val="0"/>
          <w:bCs/>
          <w:spacing w:val="0"/>
          <w:lang w:val="en-US" w:eastAsia="zh-CN"/>
        </w:rPr>
        <w:t xml:space="preserve"> </w:t>
      </w:r>
      <w:r>
        <w:rPr>
          <w:rFonts w:hint="eastAsia" w:ascii="宋体" w:hAnsi="宋体" w:eastAsia="宋体" w:cs="宋体"/>
          <w:b w:val="0"/>
          <w:bCs/>
          <w:spacing w:val="0"/>
          <w:lang w:val="en-US" w:eastAsia="zh-CN"/>
        </w:rPr>
        <w:t xml:space="preserve"> 规范性引用文件</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_Toc13695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1</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_Toc18866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3</w:t>
      </w:r>
      <w:r>
        <w:rPr>
          <w:rFonts w:hint="eastAsia" w:cs="宋体"/>
          <w:b w:val="0"/>
          <w:bCs/>
          <w:spacing w:val="0"/>
          <w:lang w:val="en-US" w:eastAsia="zh-CN"/>
        </w:rPr>
        <w:t xml:space="preserve"> </w:t>
      </w:r>
      <w:r>
        <w:rPr>
          <w:rFonts w:hint="eastAsia" w:ascii="宋体" w:hAnsi="宋体" w:eastAsia="宋体" w:cs="宋体"/>
          <w:b w:val="0"/>
          <w:bCs/>
          <w:spacing w:val="0"/>
          <w:lang w:val="en-US" w:eastAsia="zh-CN"/>
        </w:rPr>
        <w:t xml:space="preserve"> 术语和定义</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_Toc18866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2</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_Toc15824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4</w:t>
      </w:r>
      <w:r>
        <w:rPr>
          <w:rFonts w:hint="eastAsia" w:cs="宋体"/>
          <w:b w:val="0"/>
          <w:bCs/>
          <w:spacing w:val="0"/>
          <w:lang w:val="en-US" w:eastAsia="zh-CN"/>
        </w:rPr>
        <w:t xml:space="preserve"> </w:t>
      </w:r>
      <w:r>
        <w:rPr>
          <w:rFonts w:hint="eastAsia" w:ascii="宋体" w:hAnsi="宋体" w:eastAsia="宋体" w:cs="宋体"/>
          <w:b w:val="0"/>
          <w:bCs/>
          <w:spacing w:val="0"/>
          <w:lang w:val="en-US" w:eastAsia="zh-CN"/>
        </w:rPr>
        <w:t xml:space="preserve"> 评价原则</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_Toc15824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2</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_Toc4039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5</w:t>
      </w:r>
      <w:r>
        <w:rPr>
          <w:rFonts w:hint="eastAsia" w:cs="宋体"/>
          <w:b w:val="0"/>
          <w:bCs/>
          <w:spacing w:val="0"/>
          <w:lang w:val="en-US" w:eastAsia="zh-CN"/>
        </w:rPr>
        <w:t xml:space="preserve"> </w:t>
      </w:r>
      <w:r>
        <w:rPr>
          <w:rFonts w:hint="eastAsia" w:ascii="宋体" w:hAnsi="宋体" w:eastAsia="宋体" w:cs="宋体"/>
          <w:b w:val="0"/>
          <w:bCs/>
          <w:spacing w:val="0"/>
          <w:lang w:val="en-US" w:eastAsia="zh-CN"/>
        </w:rPr>
        <w:t xml:space="preserve"> 评价程序</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_Toc4039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2</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_Toc3490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6</w:t>
      </w:r>
      <w:r>
        <w:rPr>
          <w:rFonts w:hint="eastAsia" w:cs="宋体"/>
          <w:b w:val="0"/>
          <w:bCs/>
          <w:spacing w:val="0"/>
          <w:lang w:val="en-US" w:eastAsia="zh-CN"/>
        </w:rPr>
        <w:t xml:space="preserve"> </w:t>
      </w:r>
      <w:r>
        <w:rPr>
          <w:rFonts w:hint="eastAsia" w:ascii="宋体" w:hAnsi="宋体" w:eastAsia="宋体" w:cs="宋体"/>
          <w:b w:val="0"/>
          <w:bCs/>
          <w:spacing w:val="0"/>
          <w:lang w:val="en-US" w:eastAsia="zh-CN"/>
        </w:rPr>
        <w:t xml:space="preserve"> 甘薯产地环境评价</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_Toc3490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3</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_Toc31936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7</w:t>
      </w:r>
      <w:r>
        <w:rPr>
          <w:rFonts w:hint="eastAsia" w:cs="宋体"/>
          <w:b w:val="0"/>
          <w:bCs/>
          <w:spacing w:val="0"/>
          <w:lang w:val="en-US" w:eastAsia="zh-CN"/>
        </w:rPr>
        <w:t xml:space="preserve"> </w:t>
      </w:r>
      <w:r>
        <w:rPr>
          <w:rFonts w:hint="eastAsia" w:ascii="宋体" w:hAnsi="宋体" w:eastAsia="宋体" w:cs="宋体"/>
          <w:b w:val="0"/>
          <w:bCs/>
          <w:spacing w:val="0"/>
          <w:lang w:val="en-US" w:eastAsia="zh-CN"/>
        </w:rPr>
        <w:t xml:space="preserve"> 记录与档案</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_Toc31936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6</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_Toc27015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附录A（规范性）</w:t>
      </w:r>
      <w:r>
        <w:rPr>
          <w:rFonts w:hint="eastAsia" w:cs="宋体"/>
          <w:b w:val="0"/>
          <w:bCs/>
          <w:spacing w:val="0"/>
          <w:lang w:val="en-US" w:eastAsia="zh-CN"/>
        </w:rPr>
        <w:t xml:space="preserve"> </w:t>
      </w:r>
      <w:r>
        <w:rPr>
          <w:rFonts w:hint="eastAsia" w:ascii="宋体" w:hAnsi="宋体" w:eastAsia="宋体" w:cs="宋体"/>
          <w:b w:val="0"/>
          <w:bCs/>
          <w:spacing w:val="0"/>
          <w:lang w:val="en-US" w:eastAsia="zh-CN"/>
        </w:rPr>
        <w:t xml:space="preserve"> 灌溉水质量指标及检测方法</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_Toc27015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7</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_Toc22589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附录B（规范性）</w:t>
      </w:r>
      <w:r>
        <w:rPr>
          <w:rFonts w:hint="eastAsia" w:cs="宋体"/>
          <w:b w:val="0"/>
          <w:bCs/>
          <w:spacing w:val="0"/>
          <w:lang w:val="en-US" w:eastAsia="zh-CN"/>
        </w:rPr>
        <w:t xml:space="preserve"> </w:t>
      </w:r>
      <w:r>
        <w:rPr>
          <w:rFonts w:hint="eastAsia" w:ascii="宋体" w:hAnsi="宋体" w:eastAsia="宋体" w:cs="宋体"/>
          <w:b w:val="0"/>
          <w:bCs/>
          <w:spacing w:val="0"/>
          <w:lang w:val="en-US" w:eastAsia="zh-CN"/>
        </w:rPr>
        <w:t xml:space="preserve"> 土壤质量指标及检测方法</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_Toc22589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8</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b w:val="0"/>
          <w:bCs/>
          <w:spacing w:val="0"/>
        </w:rPr>
      </w:pPr>
      <w:r>
        <w:rPr>
          <w:rFonts w:hint="eastAsia" w:ascii="宋体" w:hAnsi="宋体" w:eastAsia="宋体" w:cs="宋体"/>
          <w:b w:val="0"/>
          <w:bCs/>
          <w:spacing w:val="0"/>
          <w:lang w:val="en-US" w:eastAsia="zh-CN"/>
        </w:rPr>
        <w:fldChar w:fldCharType="begin"/>
      </w:r>
      <w:r>
        <w:rPr>
          <w:rFonts w:hint="eastAsia" w:ascii="宋体" w:hAnsi="宋体" w:eastAsia="宋体" w:cs="宋体"/>
          <w:b w:val="0"/>
          <w:bCs/>
          <w:spacing w:val="0"/>
          <w:lang w:val="en-US" w:eastAsia="zh-CN"/>
        </w:rPr>
        <w:instrText xml:space="preserve"> HYPERLINK \l _Toc685 </w:instrText>
      </w:r>
      <w:r>
        <w:rPr>
          <w:rFonts w:hint="eastAsia" w:ascii="宋体" w:hAnsi="宋体" w:eastAsia="宋体" w:cs="宋体"/>
          <w:b w:val="0"/>
          <w:bCs/>
          <w:spacing w:val="0"/>
          <w:lang w:val="en-US" w:eastAsia="zh-CN"/>
        </w:rPr>
        <w:fldChar w:fldCharType="separate"/>
      </w:r>
      <w:r>
        <w:rPr>
          <w:rFonts w:hint="eastAsia" w:ascii="宋体" w:hAnsi="宋体" w:eastAsia="宋体" w:cs="宋体"/>
          <w:b w:val="0"/>
          <w:bCs/>
          <w:spacing w:val="0"/>
          <w:lang w:val="en-US" w:eastAsia="zh-CN"/>
        </w:rPr>
        <w:t>附录C（资料性）</w:t>
      </w:r>
      <w:r>
        <w:rPr>
          <w:rFonts w:hint="eastAsia" w:cs="宋体"/>
          <w:b w:val="0"/>
          <w:bCs/>
          <w:spacing w:val="0"/>
          <w:lang w:val="en-US" w:eastAsia="zh-CN"/>
        </w:rPr>
        <w:t xml:space="preserve"> </w:t>
      </w:r>
      <w:r>
        <w:rPr>
          <w:rFonts w:hint="eastAsia" w:ascii="宋体" w:hAnsi="宋体" w:eastAsia="宋体" w:cs="宋体"/>
          <w:b w:val="0"/>
          <w:bCs/>
          <w:spacing w:val="0"/>
          <w:lang w:val="en-US" w:eastAsia="zh-CN"/>
        </w:rPr>
        <w:t xml:space="preserve"> 评价记录表</w:t>
      </w:r>
      <w:r>
        <w:rPr>
          <w:rFonts w:hint="eastAsia" w:ascii="宋体" w:hAnsi="宋体" w:eastAsia="宋体" w:cs="宋体"/>
          <w:b w:val="0"/>
          <w:bCs/>
          <w:spacing w:val="0"/>
        </w:rPr>
        <w:tab/>
      </w:r>
      <w:r>
        <w:rPr>
          <w:rFonts w:hint="eastAsia" w:ascii="宋体" w:hAnsi="宋体" w:eastAsia="宋体" w:cs="宋体"/>
          <w:b w:val="0"/>
          <w:bCs/>
          <w:spacing w:val="0"/>
        </w:rPr>
        <w:fldChar w:fldCharType="begin"/>
      </w:r>
      <w:r>
        <w:rPr>
          <w:rFonts w:hint="eastAsia" w:ascii="宋体" w:hAnsi="宋体" w:eastAsia="宋体" w:cs="宋体"/>
          <w:b w:val="0"/>
          <w:bCs/>
          <w:spacing w:val="0"/>
        </w:rPr>
        <w:instrText xml:space="preserve"> PAGEREF _Toc685 \h </w:instrText>
      </w:r>
      <w:r>
        <w:rPr>
          <w:rFonts w:hint="eastAsia" w:ascii="宋体" w:hAnsi="宋体" w:eastAsia="宋体" w:cs="宋体"/>
          <w:b w:val="0"/>
          <w:bCs/>
          <w:spacing w:val="0"/>
        </w:rPr>
        <w:fldChar w:fldCharType="separate"/>
      </w:r>
      <w:r>
        <w:rPr>
          <w:rFonts w:hint="eastAsia" w:ascii="宋体" w:hAnsi="宋体" w:eastAsia="宋体" w:cs="宋体"/>
          <w:b w:val="0"/>
          <w:bCs/>
          <w:spacing w:val="0"/>
        </w:rPr>
        <w:t>9</w:t>
      </w:r>
      <w:r>
        <w:rPr>
          <w:rFonts w:hint="eastAsia" w:ascii="宋体" w:hAnsi="宋体" w:eastAsia="宋体" w:cs="宋体"/>
          <w:b w:val="0"/>
          <w:bCs/>
          <w:spacing w:val="0"/>
        </w:rPr>
        <w:fldChar w:fldCharType="end"/>
      </w:r>
      <w:r>
        <w:rPr>
          <w:rFonts w:hint="eastAsia" w:ascii="宋体" w:hAnsi="宋体" w:eastAsia="宋体" w:cs="宋体"/>
          <w:b w:val="0"/>
          <w:bCs/>
          <w:spacing w:val="0"/>
          <w:lang w:val="en-US" w:eastAsia="zh-CN"/>
        </w:rPr>
        <w:fldChar w:fldCharType="end"/>
      </w:r>
    </w:p>
    <w:p>
      <w:pPr>
        <w:bidi w:val="0"/>
        <w:ind w:left="0" w:leftChars="0" w:firstLine="0" w:firstLineChars="0"/>
        <w:rPr>
          <w:rFonts w:hint="eastAsia"/>
          <w:lang w:val="en-US" w:eastAsia="zh-CN"/>
        </w:rPr>
      </w:pPr>
      <w:r>
        <w:rPr>
          <w:rFonts w:hint="eastAsia" w:ascii="宋体" w:hAnsi="宋体" w:eastAsia="宋体" w:cs="宋体"/>
          <w:b w:val="0"/>
          <w:bCs/>
          <w:spacing w:val="0"/>
          <w:lang w:val="en-US" w:eastAsia="zh-CN"/>
        </w:rPr>
        <w:fldChar w:fldCharType="end"/>
      </w:r>
    </w:p>
    <w:p>
      <w:pPr>
        <w:pStyle w:val="52"/>
        <w:bidi w:val="0"/>
        <w:rPr>
          <w:rFonts w:hint="eastAsia"/>
          <w:lang w:val="en-US" w:eastAsia="zh-CN"/>
        </w:rPr>
      </w:pPr>
      <w:r>
        <w:rPr>
          <w:rFonts w:hint="eastAsia"/>
          <w:lang w:val="en-US" w:eastAsia="zh-CN"/>
        </w:rPr>
        <w:br w:type="page"/>
      </w:r>
    </w:p>
    <w:p>
      <w:pPr>
        <w:pStyle w:val="53"/>
        <w:bidi w:val="0"/>
        <w:rPr>
          <w:rFonts w:hint="eastAsia"/>
          <w:lang w:val="en-US" w:eastAsia="zh-CN"/>
        </w:rPr>
      </w:pPr>
      <w:bookmarkStart w:id="18" w:name="_Toc2563"/>
      <w:r>
        <w:rPr>
          <w:rFonts w:hint="eastAsia"/>
          <w:spacing w:val="317"/>
          <w:lang w:val="en-US" w:eastAsia="zh-CN"/>
        </w:rPr>
        <w:t>前</w:t>
      </w:r>
      <w:bookmarkStart w:id="19" w:name="BKQY"/>
      <w:r>
        <w:rPr>
          <w:rFonts w:hint="eastAsia"/>
          <w:lang w:val="en-US" w:eastAsia="zh-CN"/>
        </w:rPr>
        <w:t>言</w:t>
      </w:r>
      <w:bookmarkEnd w:id="18"/>
    </w:p>
    <w:p>
      <w:pPr>
        <w:pStyle w:val="23"/>
        <w:bidi w:val="0"/>
        <w:rPr>
          <w:rFonts w:hint="eastAsia"/>
          <w:lang w:val="en-US" w:eastAsia="zh-CN"/>
        </w:rPr>
      </w:pPr>
      <w:r>
        <w:rPr>
          <w:rFonts w:hint="eastAsia"/>
          <w:lang w:val="en-US" w:eastAsia="zh-CN"/>
        </w:rPr>
        <w:t>本文件按照GB/T 1.1—2020《标准化工作导则  第1部分：标准化文件的结构和起草规则》的规定起草。</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本文件由山西省农业农村厅提出、组织实施和监督检查。</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山西省市场监督管理局对标准的组织实施情况进行监督检查。</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本文件由山西省农业标准化技术委员会归口。</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本文件起草单位：山西省检验检测中心（山西省标准计量技术研究院）。</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本文件主要起草人：王国桢、梁聪杰、刘俐君、李敏、李岩岭、董琳、赵海英、李丹、何锦惠、崔霞、郭一、苏菊萍、王萍。</w:t>
      </w:r>
    </w:p>
    <w:p>
      <w:pPr>
        <w:pStyle w:val="23"/>
        <w:bidi w:val="0"/>
        <w:rPr>
          <w:rFonts w:hint="eastAsia"/>
          <w:lang w:val="en-US" w:eastAsia="zh-CN"/>
        </w:rPr>
      </w:pPr>
    </w:p>
    <w:bookmarkEnd w:id="19"/>
    <w:p>
      <w:pPr>
        <w:rPr>
          <w:rFonts w:hint="eastAsia"/>
          <w:lang w:val="en-US" w:eastAsia="zh-CN"/>
        </w:rPr>
      </w:pPr>
    </w:p>
    <w:p>
      <w:pPr>
        <w:rPr>
          <w:rFonts w:hint="eastAsia"/>
          <w:lang w:val="en-US" w:eastAsia="zh-CN"/>
        </w:rPr>
      </w:pPr>
    </w:p>
    <w:p>
      <w:pPr>
        <w:rPr>
          <w:rFonts w:hint="eastAsia"/>
          <w:lang w:val="en-US" w:eastAsia="zh-CN"/>
        </w:rPr>
        <w:sectPr>
          <w:headerReference r:id="rId3" w:type="default"/>
          <w:footerReference r:id="rId4" w:type="default"/>
          <w:pgSz w:w="11906" w:h="16838"/>
          <w:pgMar w:top="1871" w:right="1134" w:bottom="1134" w:left="1134" w:header="1418" w:footer="1134" w:gutter="284"/>
          <w:lnNumType w:countBy="0" w:restart="continuous"/>
          <w:pgNumType w:fmt="upperRoman" w:start="1"/>
          <w:cols w:space="425" w:num="1"/>
          <w:docGrid w:type="lines" w:linePitch="312" w:charSpace="0"/>
        </w:sectPr>
      </w:pPr>
    </w:p>
    <w:sdt>
      <w:sdtPr>
        <w:rPr>
          <w:rStyle w:val="118"/>
          <w:rFonts w:hint="eastAsia"/>
          <w:lang w:val="en-US" w:eastAsia="zh-CN"/>
        </w:rPr>
        <w:tag w:val="StandardName"/>
        <w:id w:val="147469373"/>
        <w:lock w:val="sdtLocked"/>
        <w:placeholder>
          <w:docPart w:val="{1a9da93a-67bb-40c7-bef3-0162ea5a14b7}"/>
        </w:placeholder>
      </w:sdtPr>
      <w:sdtEndPr>
        <w:rPr>
          <w:rStyle w:val="118"/>
          <w:rFonts w:hint="eastAsia"/>
          <w:lang w:val="en-US" w:eastAsia="zh-CN"/>
        </w:rPr>
      </w:sdtEndPr>
      <w:sdtContent>
        <w:p>
          <w:pPr>
            <w:pStyle w:val="54"/>
            <w:bidi w:val="0"/>
            <w:rPr>
              <w:rStyle w:val="118"/>
              <w:rFonts w:hint="eastAsia"/>
              <w:lang w:val="en-US" w:eastAsia="zh-CN"/>
            </w:rPr>
          </w:pPr>
          <w:bookmarkStart w:id="20" w:name="StandardName"/>
          <w:r>
            <w:rPr>
              <w:rStyle w:val="118"/>
              <w:rFonts w:hint="eastAsia"/>
              <w:b w:val="0"/>
              <w:bCs/>
              <w:lang w:val="en-US" w:eastAsia="zh-CN"/>
            </w:rPr>
            <w:t>甘薯产地环境评价技术规范</w:t>
          </w:r>
          <w:bookmarkEnd w:id="20"/>
        </w:p>
      </w:sdtContent>
    </w:sdt>
    <w:p>
      <w:pPr>
        <w:pStyle w:val="70"/>
        <w:bidi w:val="0"/>
        <w:rPr>
          <w:rStyle w:val="118"/>
          <w:rFonts w:hint="eastAsia"/>
          <w:lang w:val="en-US" w:eastAsia="zh-CN"/>
        </w:rPr>
      </w:pPr>
      <w:bookmarkStart w:id="21" w:name="_Toc32586"/>
      <w:r>
        <w:rPr>
          <w:rFonts w:hint="eastAsia"/>
          <w:lang w:val="en-US" w:eastAsia="zh-CN"/>
        </w:rPr>
        <w:t>范围</w:t>
      </w:r>
      <w:bookmarkEnd w:id="21"/>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本文件规定了甘薯产地环境质量的评价原则、评价程序、甘薯产地环境评价、记录与档案。</w:t>
      </w:r>
    </w:p>
    <w:p>
      <w:pPr>
        <w:pStyle w:val="23"/>
        <w:rPr>
          <w:rFonts w:hint="eastAsia"/>
          <w:b w:val="0"/>
          <w:bCs/>
          <w:lang w:val="en-US" w:eastAsia="zh-CN"/>
        </w:rPr>
      </w:pPr>
      <w:r>
        <w:rPr>
          <w:rFonts w:hint="eastAsia" w:ascii="宋体" w:hAnsi="Times New Roman" w:eastAsia="宋体" w:cs="Times New Roman"/>
          <w:b w:val="0"/>
          <w:bCs/>
          <w:sz w:val="21"/>
          <w:lang w:val="en-US" w:eastAsia="zh-CN" w:bidi="ar-SA"/>
        </w:rPr>
        <w:t>本文件适用于山西省境内甘薯主产区的环境质量评价。</w:t>
      </w:r>
    </w:p>
    <w:p>
      <w:pPr>
        <w:pStyle w:val="70"/>
        <w:bidi w:val="0"/>
        <w:rPr>
          <w:rFonts w:hint="eastAsia"/>
          <w:lang w:val="en-US" w:eastAsia="zh-CN"/>
        </w:rPr>
      </w:pPr>
      <w:bookmarkStart w:id="22" w:name="_Toc13695"/>
      <w:r>
        <w:rPr>
          <w:rFonts w:hint="eastAsia"/>
          <w:lang w:val="en-US" w:eastAsia="zh-CN"/>
        </w:rPr>
        <w:t>规范性引用文件</w:t>
      </w:r>
      <w:bookmarkEnd w:id="22"/>
    </w:p>
    <w:sdt>
      <w:sdtPr>
        <w:rPr>
          <w:rFonts w:hint="eastAsia" w:ascii="宋体" w:hAnsi="Times New Roman" w:eastAsia="宋体" w:cs="宋体"/>
          <w:sz w:val="21"/>
          <w:lang w:val="en-US" w:eastAsia="zh-CN"/>
        </w:rPr>
        <w:tag w:val="StandNameFile"/>
        <w:id w:val="147473687"/>
        <w:placeholder>
          <w:docPart w:val="{c7f01786-c39e-4c03-a823-aeec898ea602}"/>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val="en-US" w:eastAsia="zh-CN"/>
        </w:rPr>
      </w:sdtEndPr>
      <w:sdtContent>
        <w:p>
          <w:pPr>
            <w:pStyle w:val="23"/>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 5084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农田灌溉水质标准</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6920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水质pH值的测定 玻璃电极法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7467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六价铬的测定-二苯碳酰二肼分光光度法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7475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铜、锌、铅、镉的测定 原子吸收分光光度法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7484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氟化物的测定 离子选择电极法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7494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阴离子表面活性剂的测定 亚甲蓝分光光度法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11896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氯化物的测定 硝酸银滴定法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11901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悬浮物的测定 重量法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11912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镍的测定 火焰原子吸收分光光度法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13195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水温的测定-温度计或颠倒温度计测定法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 15618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土壤环境质量 农用地土壤污染风险管控标准</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17141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土壤质量 铅、镉的测定 石墨炉原子吸收分光光度法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22105.1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土壤质量 总汞、总砷、总铅的测定 原子荧光法 第1部分：土壤中总汞的测定</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GB/T 22105.2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土壤质量 总汞、总砷、总铅的测定 原子荧光法 第2部分：土壤中总砷的测定</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HJ/T 51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全盐量的测定 重量法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HJ 84</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 xml:space="preserve"> 水质 无机阴离子（F</w:t>
      </w:r>
      <w:r>
        <w:rPr>
          <w:rFonts w:hint="eastAsia" w:ascii="宋体" w:hAnsi="Times New Roman" w:eastAsia="宋体" w:cs="Times New Roman"/>
          <w:b w:val="0"/>
          <w:bCs/>
          <w:sz w:val="21"/>
          <w:vertAlign w:val="superscript"/>
          <w:lang w:val="en-US" w:eastAsia="zh-CN" w:bidi="ar-SA"/>
        </w:rPr>
        <w:t>-</w:t>
      </w:r>
      <w:r>
        <w:rPr>
          <w:rFonts w:hint="eastAsia" w:ascii="宋体" w:hAnsi="Times New Roman" w:eastAsia="宋体" w:cs="Times New Roman"/>
          <w:b w:val="0"/>
          <w:bCs/>
          <w:sz w:val="21"/>
          <w:lang w:val="en-US" w:eastAsia="zh-CN" w:bidi="ar-SA"/>
        </w:rPr>
        <w:t>、Cl</w:t>
      </w:r>
      <w:r>
        <w:rPr>
          <w:rFonts w:hint="eastAsia" w:ascii="宋体" w:hAnsi="Times New Roman" w:eastAsia="宋体" w:cs="Times New Roman"/>
          <w:b w:val="0"/>
          <w:bCs/>
          <w:sz w:val="21"/>
          <w:vertAlign w:val="superscript"/>
          <w:lang w:val="en-US" w:eastAsia="zh-CN" w:bidi="ar-SA"/>
        </w:rPr>
        <w:t>-</w:t>
      </w:r>
      <w:r>
        <w:rPr>
          <w:rFonts w:hint="eastAsia" w:ascii="宋体" w:hAnsi="Times New Roman" w:eastAsia="宋体" w:cs="Times New Roman"/>
          <w:b w:val="0"/>
          <w:bCs/>
          <w:sz w:val="21"/>
          <w:lang w:val="en-US" w:eastAsia="zh-CN" w:bidi="ar-SA"/>
        </w:rPr>
        <w:t>、NO</w:t>
      </w:r>
      <w:r>
        <w:rPr>
          <w:rFonts w:hint="eastAsia" w:ascii="宋体" w:hAnsi="Times New Roman" w:eastAsia="宋体" w:cs="Times New Roman"/>
          <w:b w:val="0"/>
          <w:bCs/>
          <w:sz w:val="21"/>
          <w:vertAlign w:val="superscript"/>
          <w:lang w:val="en-US" w:eastAsia="zh-CN" w:bidi="ar-SA"/>
        </w:rPr>
        <w:t>2-</w:t>
      </w:r>
      <w:r>
        <w:rPr>
          <w:rFonts w:hint="eastAsia" w:ascii="宋体" w:hAnsi="Times New Roman" w:eastAsia="宋体" w:cs="Times New Roman"/>
          <w:b w:val="0"/>
          <w:bCs/>
          <w:sz w:val="21"/>
          <w:lang w:val="en-US" w:eastAsia="zh-CN" w:bidi="ar-SA"/>
        </w:rPr>
        <w:t>、Br</w:t>
      </w:r>
      <w:r>
        <w:rPr>
          <w:rFonts w:hint="eastAsia" w:ascii="宋体" w:hAnsi="Times New Roman" w:eastAsia="宋体" w:cs="Times New Roman"/>
          <w:b w:val="0"/>
          <w:bCs/>
          <w:sz w:val="21"/>
          <w:vertAlign w:val="superscript"/>
          <w:lang w:val="en-US" w:eastAsia="zh-CN" w:bidi="ar-SA"/>
        </w:rPr>
        <w:t>-</w:t>
      </w:r>
      <w:r>
        <w:rPr>
          <w:rFonts w:hint="eastAsia" w:ascii="宋体" w:hAnsi="Times New Roman" w:eastAsia="宋体" w:cs="Times New Roman"/>
          <w:b w:val="0"/>
          <w:bCs/>
          <w:sz w:val="21"/>
          <w:lang w:val="en-US" w:eastAsia="zh-CN" w:bidi="ar-SA"/>
        </w:rPr>
        <w:t>、NO</w:t>
      </w:r>
      <w:r>
        <w:rPr>
          <w:rFonts w:hint="eastAsia" w:ascii="宋体" w:hAnsi="Times New Roman" w:eastAsia="宋体" w:cs="Times New Roman"/>
          <w:b w:val="0"/>
          <w:bCs/>
          <w:sz w:val="21"/>
          <w:vertAlign w:val="superscript"/>
          <w:lang w:val="en-US" w:eastAsia="zh-CN" w:bidi="ar-SA"/>
        </w:rPr>
        <w:t>3-</w:t>
      </w:r>
      <w:r>
        <w:rPr>
          <w:rFonts w:hint="eastAsia" w:ascii="宋体" w:hAnsi="Times New Roman" w:eastAsia="宋体" w:cs="Times New Roman"/>
          <w:b w:val="0"/>
          <w:bCs/>
          <w:sz w:val="21"/>
          <w:lang w:val="en-US" w:eastAsia="zh-CN" w:bidi="ar-SA"/>
        </w:rPr>
        <w:t>、PO</w:t>
      </w:r>
      <w:r>
        <w:rPr>
          <w:rFonts w:hint="eastAsia" w:ascii="宋体" w:hAnsi="Times New Roman" w:eastAsia="宋体" w:cs="Times New Roman"/>
          <w:b w:val="0"/>
          <w:bCs/>
          <w:sz w:val="21"/>
          <w:vertAlign w:val="subscript"/>
          <w:lang w:val="en-US" w:eastAsia="zh-CN" w:bidi="ar-SA"/>
        </w:rPr>
        <w:t>4</w:t>
      </w:r>
      <w:r>
        <w:rPr>
          <w:rFonts w:hint="eastAsia" w:ascii="宋体" w:hAnsi="Times New Roman" w:eastAsia="宋体" w:cs="Times New Roman"/>
          <w:b w:val="0"/>
          <w:bCs/>
          <w:sz w:val="21"/>
          <w:vertAlign w:val="superscript"/>
          <w:lang w:val="en-US" w:eastAsia="zh-CN" w:bidi="ar-SA"/>
        </w:rPr>
        <w:t>3-</w:t>
      </w:r>
      <w:r>
        <w:rPr>
          <w:rFonts w:hint="eastAsia" w:ascii="宋体" w:hAnsi="Times New Roman" w:eastAsia="宋体" w:cs="Times New Roman"/>
          <w:b w:val="0"/>
          <w:bCs/>
          <w:sz w:val="21"/>
          <w:lang w:val="en-US" w:eastAsia="zh-CN" w:bidi="ar-SA"/>
        </w:rPr>
        <w:t>、SO</w:t>
      </w:r>
      <w:r>
        <w:rPr>
          <w:rFonts w:hint="eastAsia" w:ascii="宋体" w:hAnsi="Times New Roman" w:eastAsia="宋体" w:cs="Times New Roman"/>
          <w:b w:val="0"/>
          <w:bCs/>
          <w:sz w:val="21"/>
          <w:vertAlign w:val="subscript"/>
          <w:lang w:val="en-US" w:eastAsia="zh-CN" w:bidi="ar-SA"/>
        </w:rPr>
        <w:t>3</w:t>
      </w:r>
      <w:r>
        <w:rPr>
          <w:rFonts w:hint="eastAsia" w:ascii="宋体" w:hAnsi="Times New Roman" w:eastAsia="宋体" w:cs="Times New Roman"/>
          <w:b w:val="0"/>
          <w:bCs/>
          <w:sz w:val="21"/>
          <w:vertAlign w:val="superscript"/>
          <w:lang w:val="en-US" w:eastAsia="zh-CN" w:bidi="ar-SA"/>
        </w:rPr>
        <w:t>2-</w:t>
      </w:r>
      <w:r>
        <w:rPr>
          <w:rFonts w:hint="eastAsia" w:ascii="宋体" w:hAnsi="Times New Roman" w:eastAsia="宋体" w:cs="Times New Roman"/>
          <w:b w:val="0"/>
          <w:bCs/>
          <w:sz w:val="21"/>
          <w:lang w:val="en-US" w:eastAsia="zh-CN" w:bidi="ar-SA"/>
        </w:rPr>
        <w:t>、SO</w:t>
      </w:r>
      <w:r>
        <w:rPr>
          <w:rFonts w:hint="eastAsia" w:ascii="宋体" w:hAnsi="Times New Roman" w:eastAsia="宋体" w:cs="Times New Roman"/>
          <w:b w:val="0"/>
          <w:bCs/>
          <w:sz w:val="21"/>
          <w:vertAlign w:val="subscript"/>
          <w:lang w:val="en-US" w:eastAsia="zh-CN" w:bidi="ar-SA"/>
        </w:rPr>
        <w:t>4</w:t>
      </w:r>
      <w:r>
        <w:rPr>
          <w:rFonts w:hint="eastAsia" w:ascii="宋体" w:hAnsi="Times New Roman" w:eastAsia="宋体" w:cs="Times New Roman"/>
          <w:b w:val="0"/>
          <w:bCs/>
          <w:sz w:val="21"/>
          <w:vertAlign w:val="superscript"/>
          <w:lang w:val="en-US" w:eastAsia="zh-CN" w:bidi="ar-SA"/>
        </w:rPr>
        <w:t>2-</w:t>
      </w:r>
      <w:r>
        <w:rPr>
          <w:rFonts w:hint="eastAsia" w:ascii="宋体" w:hAnsi="Times New Roman" w:eastAsia="宋体" w:cs="Times New Roman"/>
          <w:b w:val="0"/>
          <w:bCs/>
          <w:sz w:val="21"/>
          <w:lang w:val="en-US" w:eastAsia="zh-CN" w:bidi="ar-SA"/>
        </w:rPr>
        <w:t>）的测定 离子色谱法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 347.2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粪大肠菌群的测定 多管发酵法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 491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土壤和沉积物 铜、锌、铅、镍、铬的测定 火焰原子吸收分光光度法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 505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五日生化需氧量（BOD</w:t>
      </w:r>
      <w:r>
        <w:rPr>
          <w:rFonts w:hint="eastAsia" w:ascii="宋体" w:hAnsi="Times New Roman" w:eastAsia="宋体" w:cs="Times New Roman"/>
          <w:b w:val="0"/>
          <w:bCs/>
          <w:sz w:val="21"/>
          <w:vertAlign w:val="subscript"/>
          <w:lang w:val="en-US" w:eastAsia="zh-CN" w:bidi="ar-SA"/>
        </w:rPr>
        <w:t>5</w:t>
      </w:r>
      <w:r>
        <w:rPr>
          <w:rFonts w:hint="eastAsia" w:ascii="宋体" w:hAnsi="Times New Roman" w:eastAsia="宋体" w:cs="Times New Roman"/>
          <w:b w:val="0"/>
          <w:bCs/>
          <w:sz w:val="21"/>
          <w:lang w:val="en-US" w:eastAsia="zh-CN" w:bidi="ar-SA"/>
        </w:rPr>
        <w:t>）的测定 稀释与接种法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 597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总汞的测定 冷原子吸收分光光度法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 694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汞、砷、硒、铋和锑的测定 原子荧光法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 700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65种元素的测定 电感耦合等离子体质谱法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 775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蛔虫卵的测定 沉淀集卵法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 776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32种元素的测定 电感耦合等离子体发射光谱法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 828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化学需氧量的测定 重铬酸盐法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HJ 1147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水质 pH的测定 电极法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HJ 1226</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 xml:space="preserve"> 水质 硫化物的测定 亚甲基蓝分光光度法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NY/T 391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绿色食品 产地环境质量</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NY/T 395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农田土壤环境质量监测技术规范</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 xml:space="preserve">NY/T 396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US" w:eastAsia="zh-CN" w:bidi="ar-SA"/>
        </w:rPr>
        <w:t>农田水源环境质量监测技术规范</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 w:eastAsia="zh-CN" w:bidi="ar-SA"/>
        </w:rPr>
      </w:pPr>
      <w:r>
        <w:rPr>
          <w:rFonts w:hint="eastAsia" w:ascii="宋体" w:hAnsi="Times New Roman" w:eastAsia="宋体" w:cs="Times New Roman"/>
          <w:b w:val="0"/>
          <w:bCs/>
          <w:sz w:val="21"/>
          <w:lang w:val="en-US" w:eastAsia="zh-CN" w:bidi="ar-SA"/>
        </w:rPr>
        <w:t xml:space="preserve">NY/T 889 </w:t>
      </w:r>
      <w:r>
        <w:rPr>
          <w:rFonts w:hint="default" w:ascii="宋体" w:hAnsi="Times New Roman" w:eastAsia="宋体" w:cs="Times New Roman"/>
          <w:b w:val="0"/>
          <w:bCs/>
          <w:sz w:val="21"/>
          <w:lang w:val="en" w:eastAsia="zh-CN" w:bidi="ar-SA"/>
        </w:rPr>
        <w:t xml:space="preserve"> </w:t>
      </w:r>
      <w:r>
        <w:rPr>
          <w:rFonts w:hint="eastAsia" w:ascii="宋体" w:hAnsi="Times New Roman" w:eastAsia="宋体" w:cs="Times New Roman"/>
          <w:b w:val="0"/>
          <w:bCs/>
          <w:sz w:val="21"/>
          <w:lang w:val="en" w:eastAsia="zh-CN" w:bidi="ar-SA"/>
        </w:rPr>
        <w:t>土壤速效钾和缓效钾含量的测定</w:t>
      </w:r>
    </w:p>
    <w:p>
      <w:pPr>
        <w:tabs>
          <w:tab w:val="center" w:pos="4201"/>
          <w:tab w:val="right" w:leader="dot" w:pos="9298"/>
        </w:tabs>
        <w:autoSpaceDE w:val="0"/>
        <w:autoSpaceDN w:val="0"/>
        <w:ind w:firstLine="420" w:firstLineChars="200"/>
        <w:jc w:val="both"/>
        <w:rPr>
          <w:rFonts w:hint="default" w:ascii="宋体" w:hAnsi="Times New Roman" w:eastAsia="宋体" w:cs="Times New Roman"/>
          <w:b w:val="0"/>
          <w:bCs/>
          <w:color w:val="auto"/>
          <w:sz w:val="21"/>
          <w:lang w:val="en-US" w:eastAsia="zh-CN" w:bidi="ar-SA"/>
        </w:rPr>
      </w:pPr>
      <w:r>
        <w:rPr>
          <w:rFonts w:hint="eastAsia" w:ascii="宋体" w:hAnsi="Times New Roman" w:eastAsia="宋体" w:cs="Times New Roman"/>
          <w:b w:val="0"/>
          <w:bCs/>
          <w:color w:val="auto"/>
          <w:sz w:val="21"/>
          <w:lang w:val="en-US" w:eastAsia="zh-CN" w:bidi="ar-SA"/>
        </w:rPr>
        <w:t>DB14/T 2756  马铃薯产地环境评价技术规范</w:t>
      </w:r>
    </w:p>
    <w:p>
      <w:pPr>
        <w:pStyle w:val="70"/>
        <w:bidi w:val="0"/>
        <w:rPr>
          <w:rFonts w:hint="eastAsia" w:ascii="宋体" w:hAnsi="Times New Roman" w:eastAsia="宋体" w:cs="宋体"/>
          <w:lang w:val="en-US" w:eastAsia="zh-CN"/>
        </w:rPr>
      </w:pPr>
      <w:bookmarkStart w:id="23" w:name="_Toc18866"/>
      <w:r>
        <w:rPr>
          <w:rFonts w:hint="eastAsia"/>
          <w:lang w:val="en-US" w:eastAsia="zh-CN"/>
        </w:rPr>
        <w:t>术语和定义</w:t>
      </w:r>
      <w:bookmarkEnd w:id="23"/>
    </w:p>
    <w:p>
      <w:pPr>
        <w:pStyle w:val="23"/>
        <w:rPr>
          <w:rFonts w:hint="eastAsia"/>
          <w:lang w:val="en-US" w:eastAsia="zh-CN"/>
        </w:rPr>
      </w:pPr>
      <w:r>
        <w:rPr>
          <w:rFonts w:hint="eastAsia" w:ascii="宋体" w:hAnsi="Times New Roman" w:eastAsia="宋体" w:cs="Times New Roman"/>
          <w:color w:val="auto"/>
          <w:sz w:val="21"/>
          <w:lang w:val="en-US" w:eastAsia="zh-CN" w:bidi="ar-SA"/>
        </w:rPr>
        <w:t>DB14/T 2756</w:t>
      </w:r>
      <w:sdt>
        <w:sdtPr>
          <w:rPr>
            <w:rFonts w:hint="eastAsia" w:ascii="宋体" w:hAnsi="Times New Roman" w:eastAsia="宋体" w:cs="宋体"/>
            <w:sz w:val="21"/>
            <w:lang w:val="en-US" w:eastAsia="zh-CN"/>
          </w:rPr>
          <w:tag w:val="TermContent"/>
          <w:id w:val="147473684"/>
          <w:placeholder>
            <w:docPart w:val="{48053f4b-3934-423c-90f4-9a793c6ff8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lang w:val="en-US" w:eastAsia="zh-CN"/>
          </w:rPr>
        </w:sdtEndPr>
        <w:sdtContent>
          <w:r>
            <w:rPr>
              <w:rFonts w:hint="eastAsia" w:ascii="宋体" w:hAnsi="Times New Roman" w:eastAsia="宋体" w:cs="宋体"/>
              <w:sz w:val="21"/>
              <w:lang w:val="en-US" w:eastAsia="zh-CN"/>
            </w:rPr>
            <w:t>界定的术语和定义适用于本文件。</w:t>
          </w:r>
        </w:sdtContent>
      </w:sdt>
    </w:p>
    <w:p>
      <w:pPr>
        <w:pStyle w:val="70"/>
        <w:bidi w:val="0"/>
        <w:rPr>
          <w:lang w:val="en-US" w:eastAsia="zh-CN"/>
        </w:rPr>
      </w:pPr>
      <w:bookmarkStart w:id="24" w:name="_Toc15824"/>
      <w:r>
        <w:rPr>
          <w:rFonts w:hint="eastAsia"/>
          <w:lang w:val="en-US" w:eastAsia="zh-CN"/>
        </w:rPr>
        <w:t>评价原则</w:t>
      </w:r>
      <w:bookmarkEnd w:id="24"/>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b w:val="0"/>
          <w:bCs/>
          <w:sz w:val="21"/>
          <w:lang w:val="en-US" w:eastAsia="zh-CN" w:bidi="ar-SA"/>
        </w:rPr>
        <w:t>按照科学、客观、公平的原则，通过开展产地现状调查、环境质量监测和结果的综合评价，规范地开展甘薯产地环境污染风险和质量状况的评价</w:t>
      </w:r>
      <w:r>
        <w:rPr>
          <w:rFonts w:hint="eastAsia" w:ascii="宋体" w:hAnsi="Times New Roman" w:eastAsia="宋体" w:cs="Times New Roman"/>
          <w:sz w:val="21"/>
          <w:lang w:val="en-US" w:eastAsia="zh-CN" w:bidi="ar-SA"/>
        </w:rPr>
        <w:t>。</w:t>
      </w:r>
    </w:p>
    <w:p>
      <w:pPr>
        <w:pStyle w:val="70"/>
        <w:bidi w:val="0"/>
        <w:rPr>
          <w:lang w:val="en-US" w:eastAsia="zh-CN"/>
        </w:rPr>
      </w:pPr>
      <w:bookmarkStart w:id="25" w:name="_Toc1228405698"/>
      <w:bookmarkStart w:id="26" w:name="_Toc4039"/>
      <w:bookmarkStart w:id="27" w:name="_Toc115186378"/>
      <w:r>
        <w:rPr>
          <w:rFonts w:hint="eastAsia"/>
          <w:lang w:val="en-US" w:eastAsia="zh-CN"/>
        </w:rPr>
        <w:t>评价程序</w:t>
      </w:r>
      <w:bookmarkEnd w:id="25"/>
      <w:bookmarkEnd w:id="26"/>
      <w:bookmarkEnd w:id="27"/>
    </w:p>
    <w:p>
      <w:pPr>
        <w:pStyle w:val="71"/>
        <w:bidi w:val="0"/>
        <w:rPr>
          <w:rFonts w:hint="eastAsia"/>
          <w:lang w:val="en-US" w:eastAsia="zh-CN"/>
        </w:rPr>
      </w:pPr>
      <w:bookmarkStart w:id="28" w:name="_Toc2132919355"/>
      <w:bookmarkStart w:id="29" w:name="_Toc115186379"/>
      <w:bookmarkStart w:id="30" w:name="_Toc915728728"/>
      <w:r>
        <w:rPr>
          <w:rFonts w:hint="eastAsia"/>
          <w:lang w:val="en-US" w:eastAsia="zh-CN"/>
        </w:rPr>
        <w:t>现状调查</w:t>
      </w:r>
      <w:bookmarkEnd w:id="28"/>
      <w:bookmarkEnd w:id="29"/>
      <w:bookmarkEnd w:id="30"/>
    </w:p>
    <w:p>
      <w:pPr>
        <w:pStyle w:val="72"/>
        <w:bidi w:val="0"/>
        <w:rPr>
          <w:rFonts w:hint="eastAsia"/>
          <w:lang w:val="en-US" w:eastAsia="zh-CN"/>
        </w:rPr>
      </w:pPr>
      <w:r>
        <w:rPr>
          <w:rFonts w:hint="eastAsia"/>
          <w:lang w:val="en-US" w:eastAsia="zh-CN"/>
        </w:rPr>
        <w:t>调查原则</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调查产地环境质量现状、发展趋势及区域污染控制措施，兼顾产地自然环境、社会经济及工农业生产对产地环境质量的影响。</w:t>
      </w:r>
    </w:p>
    <w:p>
      <w:pPr>
        <w:pStyle w:val="72"/>
        <w:bidi w:val="0"/>
        <w:rPr>
          <w:rFonts w:hint="eastAsia"/>
          <w:lang w:val="en-US" w:eastAsia="zh-CN"/>
        </w:rPr>
      </w:pPr>
      <w:r>
        <w:rPr>
          <w:rFonts w:hint="eastAsia"/>
          <w:lang w:val="en-US" w:eastAsia="zh-CN"/>
        </w:rPr>
        <w:t>调查方法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采用收集资料和现场调查相结合的方法进行调查。</w:t>
      </w:r>
    </w:p>
    <w:p>
      <w:pPr>
        <w:pStyle w:val="72"/>
        <w:bidi w:val="0"/>
        <w:rPr>
          <w:rFonts w:hint="eastAsia"/>
          <w:lang w:val="en-US" w:eastAsia="zh-CN"/>
        </w:rPr>
      </w:pPr>
      <w:r>
        <w:rPr>
          <w:rFonts w:hint="eastAsia"/>
          <w:lang w:val="en-US" w:eastAsia="zh-CN"/>
        </w:rPr>
        <w:t>调查内容</w:t>
      </w:r>
    </w:p>
    <w:p>
      <w:pPr>
        <w:pStyle w:val="73"/>
        <w:bidi w:val="0"/>
        <w:rPr>
          <w:rFonts w:hint="eastAsia"/>
          <w:lang w:val="en-US" w:eastAsia="zh-CN"/>
        </w:rPr>
      </w:pPr>
      <w:r>
        <w:rPr>
          <w:rFonts w:hint="eastAsia"/>
          <w:lang w:val="en-US" w:eastAsia="zh-CN"/>
        </w:rPr>
        <w:t>自然环境特征</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包括自然地理、气候与气象（年均风速、主导风向、年均气温、年均相对湿度、年均降水量等）、水文状况（河流、水系、水文特征，地表、地下水源及利用等）、土壤状况（成土母质、土壤类型、土壤背景值等）、植被及自然灾害等。</w:t>
      </w:r>
    </w:p>
    <w:p>
      <w:pPr>
        <w:pStyle w:val="73"/>
        <w:bidi w:val="0"/>
        <w:rPr>
          <w:rFonts w:hint="eastAsia"/>
          <w:lang w:val="en-US" w:eastAsia="zh-CN"/>
        </w:rPr>
      </w:pPr>
      <w:r>
        <w:rPr>
          <w:rFonts w:hint="eastAsia"/>
          <w:lang w:val="en-US" w:eastAsia="zh-CN"/>
        </w:rPr>
        <w:t>社会环境概况</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包括工业布局和农田水利，农、林、牧、渔业发展情况，农村能源结构情况等。</w:t>
      </w:r>
    </w:p>
    <w:p>
      <w:pPr>
        <w:pStyle w:val="73"/>
        <w:bidi w:val="0"/>
        <w:rPr>
          <w:rFonts w:hint="eastAsia"/>
          <w:lang w:val="en-US" w:eastAsia="zh-CN"/>
        </w:rPr>
      </w:pPr>
      <w:r>
        <w:rPr>
          <w:rFonts w:hint="eastAsia"/>
          <w:lang w:val="en-US" w:eastAsia="zh-CN"/>
        </w:rPr>
        <w:t>污染源概况</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包括工矿污染源分布、“三废”排放情况及其影响、农业副产物（畜禽粪便等）处置与综合利用、农业投入品使用情况、农村生活废弃物排放情况等，以及污染源对农业环境的影响和危害情况等。</w:t>
      </w:r>
    </w:p>
    <w:p>
      <w:pPr>
        <w:pStyle w:val="73"/>
        <w:bidi w:val="0"/>
        <w:rPr>
          <w:rFonts w:hint="eastAsia"/>
          <w:lang w:val="en-US" w:eastAsia="zh-CN"/>
        </w:rPr>
      </w:pPr>
      <w:r>
        <w:rPr>
          <w:rFonts w:hint="eastAsia"/>
          <w:lang w:val="en-US" w:eastAsia="zh-CN"/>
        </w:rPr>
        <w:t>环境质量概况</w:t>
      </w:r>
    </w:p>
    <w:p>
      <w:pPr>
        <w:pStyle w:val="74"/>
        <w:bidi w:val="0"/>
        <w:rPr>
          <w:rFonts w:hint="eastAsia"/>
          <w:lang w:val="en-US" w:eastAsia="zh-CN"/>
        </w:rPr>
      </w:pPr>
      <w:r>
        <w:rPr>
          <w:rFonts w:hint="eastAsia"/>
          <w:lang w:val="en-US" w:eastAsia="zh-CN"/>
        </w:rPr>
        <w:t>水环境</w:t>
      </w:r>
    </w:p>
    <w:p>
      <w:pPr>
        <w:autoSpaceDE w:val="0"/>
        <w:autoSpaceDN w:val="0"/>
        <w:ind w:firstLine="420" w:firstLineChars="200"/>
        <w:jc w:val="both"/>
        <w:rPr>
          <w:rFonts w:hint="eastAsia" w:ascii="宋体" w:hAnsi="Times New Roman" w:eastAsia="宋体" w:cs="Times New Roman"/>
          <w:b w:val="0"/>
          <w:bCs/>
          <w:strike w:val="0"/>
          <w:color w:val="auto"/>
          <w:sz w:val="21"/>
          <w:lang w:val="en-US" w:eastAsia="zh-CN" w:bidi="ar-SA"/>
        </w:rPr>
      </w:pPr>
      <w:r>
        <w:rPr>
          <w:rFonts w:hint="eastAsia" w:ascii="宋体" w:hAnsi="Times New Roman" w:eastAsia="宋体" w:cs="Times New Roman"/>
          <w:b w:val="0"/>
          <w:bCs/>
          <w:sz w:val="21"/>
          <w:lang w:val="en-US" w:eastAsia="zh-CN" w:bidi="ar-SA"/>
        </w:rPr>
        <w:t>主要调查灌溉水源、灌溉水水质及污染情况等。</w:t>
      </w:r>
    </w:p>
    <w:p>
      <w:pPr>
        <w:pStyle w:val="74"/>
        <w:bidi w:val="0"/>
        <w:rPr>
          <w:rFonts w:hint="eastAsia"/>
          <w:lang w:val="en-US" w:eastAsia="zh-CN"/>
        </w:rPr>
      </w:pPr>
      <w:r>
        <w:rPr>
          <w:rFonts w:hint="eastAsia"/>
          <w:lang w:val="en-US" w:eastAsia="zh-CN"/>
        </w:rPr>
        <w:t>土壤环境</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主要调查土壤环境污染状况、生态环境状况与环境背景情况等。</w:t>
      </w:r>
    </w:p>
    <w:p>
      <w:pPr>
        <w:pStyle w:val="74"/>
        <w:bidi w:val="0"/>
        <w:rPr>
          <w:rFonts w:hint="eastAsia"/>
          <w:b w:val="0"/>
          <w:bCs/>
          <w:lang w:val="en-US" w:eastAsia="zh-CN"/>
        </w:rPr>
      </w:pPr>
      <w:r>
        <w:rPr>
          <w:rFonts w:hint="eastAsia"/>
          <w:b w:val="0"/>
          <w:bCs/>
          <w:lang w:val="en-US" w:eastAsia="zh-CN"/>
        </w:rPr>
        <w:t>农业生态环境保护措施</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主要包括资源合理利用、清洁生产情况与污染防治措施等。</w:t>
      </w:r>
    </w:p>
    <w:p>
      <w:pPr>
        <w:pStyle w:val="71"/>
        <w:bidi w:val="0"/>
        <w:rPr>
          <w:rFonts w:hint="eastAsia"/>
          <w:b w:val="0"/>
          <w:bCs/>
          <w:lang w:val="en-US" w:eastAsia="zh-CN"/>
        </w:rPr>
      </w:pPr>
      <w:bookmarkStart w:id="31" w:name="_Toc1527510161"/>
      <w:bookmarkStart w:id="32" w:name="_Toc115186380"/>
      <w:bookmarkStart w:id="33" w:name="_Toc639870498"/>
      <w:r>
        <w:rPr>
          <w:rFonts w:hint="eastAsia"/>
          <w:b w:val="0"/>
          <w:bCs/>
          <w:lang w:val="en-US" w:eastAsia="zh-CN"/>
        </w:rPr>
        <w:t>甘薯产地环境监测</w:t>
      </w:r>
      <w:bookmarkEnd w:id="31"/>
      <w:bookmarkEnd w:id="32"/>
      <w:bookmarkEnd w:id="33"/>
    </w:p>
    <w:p>
      <w:pPr>
        <w:pStyle w:val="72"/>
        <w:bidi w:val="0"/>
        <w:rPr>
          <w:rFonts w:hint="eastAsia"/>
          <w:b w:val="0"/>
          <w:bCs/>
          <w:lang w:val="en-US" w:eastAsia="zh-CN"/>
        </w:rPr>
      </w:pPr>
      <w:r>
        <w:rPr>
          <w:rFonts w:hint="eastAsia"/>
          <w:b w:val="0"/>
          <w:bCs/>
          <w:lang w:val="en-US" w:eastAsia="zh-CN"/>
        </w:rPr>
        <w:t>灌溉水</w:t>
      </w:r>
    </w:p>
    <w:p>
      <w:pPr>
        <w:pStyle w:val="73"/>
        <w:bidi w:val="0"/>
        <w:rPr>
          <w:rFonts w:hint="eastAsia"/>
          <w:b w:val="0"/>
          <w:bCs/>
          <w:lang w:val="en-US" w:eastAsia="zh-CN"/>
        </w:rPr>
      </w:pPr>
      <w:r>
        <w:rPr>
          <w:rFonts w:hint="eastAsia"/>
          <w:b w:val="0"/>
          <w:bCs/>
          <w:lang w:val="en-US" w:eastAsia="zh-CN"/>
        </w:rPr>
        <w:t>布点数量</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根据水资源的分布、特点与水质条件等情况进行布点采样。对于同一水源（系）水质相对稳定、均匀的，布设1个～2个采样点；若不同水源（系）则依次叠加。</w:t>
      </w:r>
    </w:p>
    <w:p>
      <w:pPr>
        <w:pStyle w:val="73"/>
        <w:bidi w:val="0"/>
        <w:rPr>
          <w:rFonts w:hint="eastAsia"/>
          <w:b w:val="0"/>
          <w:bCs/>
          <w:lang w:val="en-US" w:eastAsia="zh-CN"/>
        </w:rPr>
      </w:pPr>
      <w:r>
        <w:rPr>
          <w:rFonts w:hint="eastAsia"/>
          <w:b w:val="0"/>
          <w:bCs/>
          <w:lang w:val="en-US" w:eastAsia="zh-CN"/>
        </w:rPr>
        <w:t>采样时间与频率</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在甘薯整个生长过程中的每个主要灌期均采样一次。</w:t>
      </w:r>
    </w:p>
    <w:p>
      <w:pPr>
        <w:pStyle w:val="73"/>
        <w:bidi w:val="0"/>
        <w:rPr>
          <w:rFonts w:hint="eastAsia"/>
          <w:b w:val="0"/>
          <w:bCs/>
          <w:lang w:val="en-US" w:eastAsia="zh-CN"/>
        </w:rPr>
      </w:pPr>
      <w:r>
        <w:rPr>
          <w:rFonts w:hint="eastAsia"/>
          <w:b w:val="0"/>
          <w:bCs/>
          <w:lang w:val="en-US" w:eastAsia="zh-CN"/>
        </w:rPr>
        <w:t>采样方法及其他采样要求</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按照NY/T 396的规定执行。</w:t>
      </w:r>
    </w:p>
    <w:p>
      <w:pPr>
        <w:pStyle w:val="72"/>
        <w:bidi w:val="0"/>
        <w:rPr>
          <w:rFonts w:hint="eastAsia"/>
          <w:b w:val="0"/>
          <w:bCs/>
          <w:lang w:val="en-US" w:eastAsia="zh-CN"/>
        </w:rPr>
      </w:pPr>
      <w:r>
        <w:rPr>
          <w:rFonts w:hint="eastAsia"/>
          <w:b w:val="0"/>
          <w:bCs/>
          <w:lang w:val="en-US" w:eastAsia="zh-CN"/>
        </w:rPr>
        <w:t>土壤</w:t>
      </w:r>
    </w:p>
    <w:p>
      <w:pPr>
        <w:pStyle w:val="73"/>
        <w:bidi w:val="0"/>
        <w:rPr>
          <w:rFonts w:hint="eastAsia"/>
          <w:b w:val="0"/>
          <w:bCs/>
          <w:lang w:val="en-US" w:eastAsia="zh-CN"/>
        </w:rPr>
      </w:pPr>
      <w:r>
        <w:rPr>
          <w:rFonts w:hint="eastAsia"/>
          <w:b w:val="0"/>
          <w:bCs/>
          <w:lang w:val="en-US" w:eastAsia="zh-CN"/>
        </w:rPr>
        <w:t>布点数量</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color w:val="FF0000"/>
          <w:sz w:val="21"/>
          <w:lang w:val="en-US" w:eastAsia="zh-CN" w:bidi="ar-SA"/>
        </w:rPr>
      </w:pPr>
      <w:r>
        <w:rPr>
          <w:rFonts w:hint="eastAsia" w:ascii="宋体" w:hAnsi="Times New Roman" w:eastAsia="宋体" w:cs="Times New Roman"/>
          <w:b w:val="0"/>
          <w:bCs/>
          <w:color w:val="auto"/>
          <w:sz w:val="21"/>
          <w:lang w:val="en-US" w:eastAsia="zh-CN" w:bidi="ar-SA"/>
        </w:rPr>
        <w:t>面积在4 hm</w:t>
      </w:r>
      <w:r>
        <w:rPr>
          <w:rFonts w:hint="eastAsia" w:ascii="宋体" w:hAnsi="Times New Roman" w:eastAsia="宋体" w:cs="Times New Roman"/>
          <w:b w:val="0"/>
          <w:bCs/>
          <w:color w:val="auto"/>
          <w:sz w:val="21"/>
          <w:vertAlign w:val="superscript"/>
          <w:lang w:val="en-US" w:eastAsia="zh-CN" w:bidi="ar-SA"/>
        </w:rPr>
        <w:t>2</w:t>
      </w:r>
      <w:r>
        <w:rPr>
          <w:rFonts w:hint="eastAsia" w:ascii="宋体" w:hAnsi="Times New Roman" w:eastAsia="宋体" w:cs="Times New Roman"/>
          <w:b w:val="0"/>
          <w:bCs/>
          <w:color w:val="auto"/>
          <w:sz w:val="21"/>
          <w:lang w:val="en-US" w:eastAsia="zh-CN" w:bidi="ar-SA"/>
        </w:rPr>
        <w:t>以内，布设1个～2个采样点；面积在4 hm</w:t>
      </w:r>
      <w:r>
        <w:rPr>
          <w:rFonts w:hint="eastAsia" w:ascii="宋体" w:hAnsi="Times New Roman" w:eastAsia="宋体" w:cs="Times New Roman"/>
          <w:b w:val="0"/>
          <w:bCs/>
          <w:color w:val="auto"/>
          <w:sz w:val="21"/>
          <w:vertAlign w:val="superscript"/>
          <w:lang w:val="en-US" w:eastAsia="zh-CN" w:bidi="ar-SA"/>
        </w:rPr>
        <w:t>2</w:t>
      </w:r>
      <w:r>
        <w:rPr>
          <w:rFonts w:hint="eastAsia" w:ascii="宋体" w:hAnsi="Times New Roman" w:eastAsia="宋体" w:cs="Times New Roman"/>
          <w:b w:val="0"/>
          <w:bCs/>
          <w:color w:val="auto"/>
          <w:sz w:val="21"/>
          <w:lang w:val="en-US" w:eastAsia="zh-CN" w:bidi="ar-SA"/>
        </w:rPr>
        <w:t>以上，面积每增加4 hm</w:t>
      </w:r>
      <w:r>
        <w:rPr>
          <w:rFonts w:hint="eastAsia" w:ascii="宋体" w:hAnsi="Times New Roman" w:eastAsia="宋体" w:cs="Times New Roman"/>
          <w:b w:val="0"/>
          <w:bCs/>
          <w:color w:val="auto"/>
          <w:sz w:val="21"/>
          <w:vertAlign w:val="superscript"/>
          <w:lang w:val="en-US" w:eastAsia="zh-CN" w:bidi="ar-SA"/>
        </w:rPr>
        <w:t>2</w:t>
      </w:r>
      <w:r>
        <w:rPr>
          <w:rFonts w:hint="eastAsia" w:ascii="宋体" w:hAnsi="Times New Roman" w:eastAsia="宋体" w:cs="Times New Roman"/>
          <w:b w:val="0"/>
          <w:bCs/>
          <w:color w:val="auto"/>
          <w:sz w:val="21"/>
          <w:lang w:val="en-US" w:eastAsia="zh-CN" w:bidi="ar-SA"/>
        </w:rPr>
        <w:t>增加1个～2个采样点。如果种植区相对分散，则应适当增加采样点数。</w:t>
      </w:r>
    </w:p>
    <w:p>
      <w:pPr>
        <w:pStyle w:val="73"/>
        <w:bidi w:val="0"/>
        <w:rPr>
          <w:rFonts w:hint="eastAsia"/>
          <w:b w:val="0"/>
          <w:bCs/>
          <w:lang w:val="en-US" w:eastAsia="zh-CN"/>
        </w:rPr>
      </w:pPr>
      <w:r>
        <w:rPr>
          <w:rFonts w:hint="eastAsia"/>
          <w:b w:val="0"/>
          <w:bCs/>
          <w:lang w:val="en-US" w:eastAsia="zh-CN"/>
        </w:rPr>
        <w:t>采样时间</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土壤样品一般应安排在作物播种前采集。</w:t>
      </w:r>
    </w:p>
    <w:p>
      <w:pPr>
        <w:pStyle w:val="73"/>
        <w:bidi w:val="0"/>
        <w:rPr>
          <w:rFonts w:hint="eastAsia"/>
          <w:b w:val="0"/>
          <w:bCs/>
          <w:lang w:val="en-US" w:eastAsia="zh-CN"/>
        </w:rPr>
      </w:pPr>
      <w:r>
        <w:rPr>
          <w:rFonts w:hint="eastAsia"/>
          <w:b w:val="0"/>
          <w:bCs/>
          <w:lang w:val="en-US" w:eastAsia="zh-CN"/>
        </w:rPr>
        <w:t>采样方法及其他采样要求</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按照NY/T 395的规定执行。</w:t>
      </w:r>
    </w:p>
    <w:p>
      <w:pPr>
        <w:pStyle w:val="71"/>
        <w:bidi w:val="0"/>
        <w:rPr>
          <w:rFonts w:hint="eastAsia"/>
          <w:b w:val="0"/>
          <w:bCs/>
          <w:lang w:val="en-US" w:eastAsia="zh-CN"/>
        </w:rPr>
      </w:pPr>
      <w:bookmarkStart w:id="34" w:name="_Toc295972378"/>
      <w:bookmarkStart w:id="35" w:name="_Toc115186381"/>
      <w:bookmarkStart w:id="36" w:name="_Toc806048572"/>
      <w:r>
        <w:rPr>
          <w:rFonts w:hint="eastAsia"/>
          <w:b w:val="0"/>
          <w:bCs/>
          <w:lang w:val="en-US" w:eastAsia="zh-CN"/>
        </w:rPr>
        <w:t>甘薯产地环境质量要求</w:t>
      </w:r>
      <w:bookmarkEnd w:id="34"/>
      <w:bookmarkEnd w:id="35"/>
      <w:bookmarkEnd w:id="36"/>
    </w:p>
    <w:p>
      <w:pPr>
        <w:pStyle w:val="72"/>
        <w:bidi w:val="0"/>
        <w:rPr>
          <w:rFonts w:hint="eastAsia"/>
          <w:b w:val="0"/>
          <w:bCs/>
          <w:lang w:val="en-US" w:eastAsia="zh-CN"/>
        </w:rPr>
      </w:pPr>
      <w:r>
        <w:rPr>
          <w:rFonts w:hint="eastAsia"/>
          <w:b w:val="0"/>
          <w:bCs/>
          <w:lang w:val="en-US" w:eastAsia="zh-CN"/>
        </w:rPr>
        <w:t>气候条件</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color w:val="auto"/>
          <w:sz w:val="21"/>
          <w:lang w:val="en-US" w:eastAsia="zh-CN" w:bidi="ar-SA"/>
        </w:rPr>
      </w:pPr>
      <w:r>
        <w:rPr>
          <w:rFonts w:hint="eastAsia" w:ascii="宋体" w:hAnsi="Times New Roman" w:eastAsia="宋体" w:cs="Times New Roman"/>
          <w:b w:val="0"/>
          <w:bCs/>
          <w:sz w:val="21"/>
          <w:lang w:val="en-US" w:eastAsia="zh-CN" w:bidi="ar-SA"/>
        </w:rPr>
        <w:t>年均气温12 ℃以上，无霜期100 d～140 d，气候温暖，光照充足，昼夜温差大，传毒媒介少，</w:t>
      </w:r>
      <w:r>
        <w:rPr>
          <w:rFonts w:hint="eastAsia" w:ascii="宋体" w:hAnsi="Times New Roman" w:eastAsia="宋体" w:cs="Times New Roman"/>
          <w:b w:val="0"/>
          <w:bCs/>
          <w:color w:val="auto"/>
          <w:sz w:val="21"/>
          <w:lang w:val="en-US" w:eastAsia="zh-CN" w:bidi="ar-SA"/>
        </w:rPr>
        <w:t>年降雨量400 mm～500 mm。</w:t>
      </w:r>
    </w:p>
    <w:p>
      <w:pPr>
        <w:pStyle w:val="72"/>
        <w:bidi w:val="0"/>
        <w:rPr>
          <w:rFonts w:hint="eastAsia"/>
          <w:b w:val="0"/>
          <w:bCs/>
          <w:lang w:val="en-US" w:eastAsia="zh-CN"/>
        </w:rPr>
      </w:pPr>
      <w:r>
        <w:rPr>
          <w:rFonts w:hint="eastAsia"/>
          <w:b w:val="0"/>
          <w:bCs/>
          <w:lang w:val="en-US" w:eastAsia="zh-CN"/>
        </w:rPr>
        <w:t>灌溉水质量</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甘薯产地灌溉水质量及检测方法应符合附录A的要求。</w:t>
      </w:r>
    </w:p>
    <w:p>
      <w:pPr>
        <w:pStyle w:val="72"/>
        <w:bidi w:val="0"/>
        <w:rPr>
          <w:rFonts w:hint="eastAsia"/>
          <w:b w:val="0"/>
          <w:bCs/>
          <w:lang w:val="en-US" w:eastAsia="zh-CN"/>
        </w:rPr>
      </w:pPr>
      <w:r>
        <w:rPr>
          <w:rFonts w:hint="eastAsia"/>
          <w:b w:val="0"/>
          <w:bCs/>
          <w:lang w:val="en-US" w:eastAsia="zh-CN"/>
        </w:rPr>
        <w:t>土壤环境质量</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甘薯产地土壤环境质量及检测方法应符合附录B的要求。</w:t>
      </w:r>
    </w:p>
    <w:p>
      <w:pPr>
        <w:pStyle w:val="70"/>
        <w:bidi w:val="0"/>
        <w:rPr>
          <w:rFonts w:hint="eastAsia"/>
          <w:lang w:val="en-US" w:eastAsia="zh-CN"/>
        </w:rPr>
      </w:pPr>
      <w:bookmarkStart w:id="37" w:name="_Toc3490"/>
      <w:bookmarkStart w:id="38" w:name="_Toc1340346373"/>
      <w:bookmarkStart w:id="39" w:name="_Toc115186382"/>
      <w:r>
        <w:rPr>
          <w:rFonts w:hint="eastAsia"/>
          <w:lang w:val="en-US" w:eastAsia="zh-CN"/>
        </w:rPr>
        <w:t>甘薯产地环境评价</w:t>
      </w:r>
      <w:bookmarkEnd w:id="37"/>
      <w:bookmarkEnd w:id="38"/>
      <w:bookmarkEnd w:id="39"/>
    </w:p>
    <w:p>
      <w:pPr>
        <w:pStyle w:val="71"/>
        <w:bidi w:val="0"/>
        <w:rPr>
          <w:rFonts w:hint="eastAsia"/>
          <w:lang w:val="en-US" w:eastAsia="zh-CN"/>
        </w:rPr>
      </w:pPr>
      <w:r>
        <w:rPr>
          <w:rFonts w:hint="eastAsia"/>
          <w:lang w:val="en-US" w:eastAsia="zh-CN"/>
        </w:rPr>
        <w:t>评价流程</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评价工作应按图1执行。</w:t>
      </w:r>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ascii="宋体" w:hAnsi="Times New Roman" w:eastAsia="宋体" w:cs="Times New Roman"/>
          <w:b w:val="0"/>
          <w:bCs/>
          <w:sz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1672590</wp:posOffset>
                </wp:positionH>
                <wp:positionV relativeFrom="paragraph">
                  <wp:posOffset>100965</wp:posOffset>
                </wp:positionV>
                <wp:extent cx="2784475" cy="2984500"/>
                <wp:effectExtent l="4445" t="4445" r="11430" b="20955"/>
                <wp:wrapNone/>
                <wp:docPr id="3" name="组合 3"/>
                <wp:cNvGraphicFramePr/>
                <a:graphic xmlns:a="http://schemas.openxmlformats.org/drawingml/2006/main">
                  <a:graphicData uri="http://schemas.microsoft.com/office/word/2010/wordprocessingGroup">
                    <wpg:wgp>
                      <wpg:cNvGrpSpPr/>
                      <wpg:grpSpPr>
                        <a:xfrm>
                          <a:off x="2392680" y="2910205"/>
                          <a:ext cx="2784475" cy="2984500"/>
                          <a:chOff x="8885" y="1905"/>
                          <a:chExt cx="4259" cy="5460"/>
                        </a:xfrm>
                      </wpg:grpSpPr>
                      <wps:wsp>
                        <wps:cNvPr id="17" name="文本框 17"/>
                        <wps:cNvSpPr txBox="true"/>
                        <wps:spPr>
                          <a:xfrm>
                            <a:off x="8885" y="1905"/>
                            <a:ext cx="4245" cy="510"/>
                          </a:xfrm>
                          <a:prstGeom prst="rect">
                            <a:avLst/>
                          </a:prstGeom>
                          <a:solidFill>
                            <a:srgbClr val="FFFFFF"/>
                          </a:solidFill>
                          <a:ln w="6350" cap="flat" cmpd="sng">
                            <a:solidFill>
                              <a:srgbClr val="000000"/>
                            </a:solidFill>
                            <a:prstDash val="solid"/>
                            <a:round/>
                            <a:headEnd type="none" w="med" len="med"/>
                            <a:tailEnd type="none" w="med" len="med"/>
                          </a:ln>
                        </wps:spPr>
                        <wps:txbx>
                          <w:txbxContent>
                            <w:p>
                              <w:pPr>
                                <w:keepNext w:val="0"/>
                                <w:keepLines w:val="0"/>
                                <w:pageBreakBefore w:val="0"/>
                                <w:widowControl w:val="0"/>
                                <w:kinsoku/>
                                <w:wordWrap/>
                                <w:overflowPunct/>
                                <w:topLinePunct w:val="0"/>
                                <w:bidi w:val="0"/>
                                <w:adjustRightInd w:val="0"/>
                                <w:snapToGrid/>
                                <w:spacing w:line="300" w:lineRule="exact"/>
                                <w:jc w:val="center"/>
                                <w:textAlignment w:val="auto"/>
                                <w:rPr>
                                  <w:rFonts w:hint="default" w:ascii="Calibri" w:hAnsi="Calibri" w:cs="Times New Roman"/>
                                  <w:b w:val="0"/>
                                  <w:szCs w:val="21"/>
                                </w:rPr>
                              </w:pPr>
                              <w:r>
                                <w:rPr>
                                  <w:rFonts w:hint="default" w:ascii="Calibri" w:hAnsi="Calibri" w:cs="Times New Roman"/>
                                  <w:b w:val="0"/>
                                  <w:szCs w:val="21"/>
                                  <w:lang w:val="en-US" w:eastAsia="zh-CN"/>
                                </w:rPr>
                                <w:t>甘薯产地环境质量现状考察</w:t>
                              </w:r>
                            </w:p>
                          </w:txbxContent>
                        </wps:txbx>
                        <wps:bodyPr upright="true"/>
                      </wps:wsp>
                      <wps:wsp>
                        <wps:cNvPr id="18" name="文本框 18"/>
                        <wps:cNvSpPr txBox="true"/>
                        <wps:spPr>
                          <a:xfrm>
                            <a:off x="8900" y="2880"/>
                            <a:ext cx="4244" cy="510"/>
                          </a:xfrm>
                          <a:prstGeom prst="rect">
                            <a:avLst/>
                          </a:prstGeom>
                          <a:solidFill>
                            <a:srgbClr val="FFFFFF"/>
                          </a:solidFill>
                          <a:ln w="6350" cap="flat" cmpd="sng">
                            <a:solidFill>
                              <a:srgbClr val="000000"/>
                            </a:solidFill>
                            <a:prstDash val="solid"/>
                            <a:round/>
                            <a:headEnd type="none" w="med" len="med"/>
                            <a:tailEnd type="none" w="med" len="med"/>
                          </a:ln>
                        </wps:spPr>
                        <wps:txbx>
                          <w:txbxContent>
                            <w:p>
                              <w:pPr>
                                <w:autoSpaceDE w:val="0"/>
                                <w:autoSpaceDN w:val="0"/>
                                <w:ind w:left="0" w:leftChars="0" w:firstLine="0" w:firstLineChars="0"/>
                                <w:jc w:val="both"/>
                                <w:rPr>
                                  <w:rFonts w:hint="default" w:ascii="宋体" w:hAnsi="Times New Roman" w:eastAsia="宋体" w:cs="Times New Roman"/>
                                  <w:b w:val="0"/>
                                  <w:bCs/>
                                  <w:sz w:val="21"/>
                                  <w:lang w:val="en-US" w:eastAsia="zh-CN" w:bidi="ar-SA"/>
                                </w:rPr>
                              </w:pPr>
                              <w:r>
                                <w:rPr>
                                  <w:rFonts w:hint="default" w:ascii="宋体" w:hAnsi="Times New Roman" w:eastAsia="宋体" w:cs="Times New Roman"/>
                                  <w:b w:val="0"/>
                                  <w:bCs/>
                                  <w:sz w:val="21"/>
                                  <w:lang w:val="en-US" w:eastAsia="zh-CN" w:bidi="ar-SA"/>
                                </w:rPr>
                                <w:t>甘薯产地环境要素调查、布点、采样、检测</w:t>
                              </w:r>
                            </w:p>
                            <w:p>
                              <w:pPr>
                                <w:adjustRightInd w:val="0"/>
                                <w:spacing w:line="400" w:lineRule="exact"/>
                                <w:rPr>
                                  <w:rFonts w:hint="default" w:ascii="Calibri" w:hAnsi="Calibri" w:cs="Times New Roman"/>
                                  <w:b w:val="0"/>
                                  <w:szCs w:val="21"/>
                                </w:rPr>
                              </w:pPr>
                            </w:p>
                          </w:txbxContent>
                        </wps:txbx>
                        <wps:bodyPr upright="true"/>
                      </wps:wsp>
                      <wps:wsp>
                        <wps:cNvPr id="19" name="文本框 19"/>
                        <wps:cNvSpPr txBox="true"/>
                        <wps:spPr>
                          <a:xfrm>
                            <a:off x="8900" y="3915"/>
                            <a:ext cx="4244" cy="510"/>
                          </a:xfrm>
                          <a:prstGeom prst="rect">
                            <a:avLst/>
                          </a:prstGeom>
                          <a:solidFill>
                            <a:srgbClr val="FFFFFF"/>
                          </a:solidFill>
                          <a:ln w="6350" cap="flat" cmpd="sng">
                            <a:solidFill>
                              <a:srgbClr val="000000"/>
                            </a:solidFill>
                            <a:prstDash val="solid"/>
                            <a:round/>
                            <a:headEnd type="none" w="med" len="med"/>
                            <a:tailEnd type="none" w="med" len="med"/>
                          </a:ln>
                        </wps:spPr>
                        <wps:txbx>
                          <w:txbxContent>
                            <w:p>
                              <w:pPr>
                                <w:autoSpaceDE w:val="0"/>
                                <w:autoSpaceDN w:val="0"/>
                                <w:ind w:left="0" w:leftChars="0" w:firstLine="0" w:firstLineChars="0"/>
                                <w:jc w:val="center"/>
                                <w:rPr>
                                  <w:rFonts w:ascii="宋体" w:hAnsi="Times New Roman" w:eastAsia="宋体" w:cs="Times New Roman"/>
                                  <w:b w:val="0"/>
                                  <w:bCs/>
                                  <w:sz w:val="21"/>
                                  <w:lang w:val="en-US" w:eastAsia="zh-CN" w:bidi="ar-SA"/>
                                </w:rPr>
                              </w:pPr>
                              <w:r>
                                <w:rPr>
                                  <w:rFonts w:hint="default" w:ascii="宋体" w:hAnsi="Times New Roman" w:eastAsia="宋体" w:cs="Times New Roman"/>
                                  <w:b w:val="0"/>
                                  <w:bCs/>
                                  <w:sz w:val="21"/>
                                  <w:lang w:val="en-US" w:eastAsia="zh-CN" w:bidi="ar-SA"/>
                                </w:rPr>
                                <w:t>调查资料及监测数据的分析、整理</w:t>
                              </w:r>
                            </w:p>
                          </w:txbxContent>
                        </wps:txbx>
                        <wps:bodyPr upright="true"/>
                      </wps:wsp>
                      <wps:wsp>
                        <wps:cNvPr id="20" name="直接箭头连接符 20"/>
                        <wps:cNvCnPr>
                          <a:stCxn id="17" idx="2"/>
                          <a:endCxn id="18" idx="0"/>
                        </wps:cNvCnPr>
                        <wps:spPr>
                          <a:xfrm>
                            <a:off x="11008" y="2415"/>
                            <a:ext cx="14" cy="465"/>
                          </a:xfrm>
                          <a:prstGeom prst="straightConnector1">
                            <a:avLst/>
                          </a:prstGeom>
                          <a:ln w="6350" cap="flat" cmpd="sng">
                            <a:solidFill>
                              <a:srgbClr val="000000"/>
                            </a:solidFill>
                            <a:prstDash val="solid"/>
                            <a:miter/>
                            <a:headEnd type="none" w="med" len="med"/>
                            <a:tailEnd type="arrow" w="med" len="med"/>
                          </a:ln>
                        </wps:spPr>
                        <wps:bodyPr/>
                      </wps:wsp>
                      <wps:wsp>
                        <wps:cNvPr id="21" name="直接箭头连接符 21"/>
                        <wps:cNvCnPr>
                          <a:stCxn id="17" idx="2"/>
                          <a:endCxn id="18" idx="0"/>
                        </wps:cNvCnPr>
                        <wps:spPr>
                          <a:xfrm>
                            <a:off x="10993" y="3435"/>
                            <a:ext cx="14" cy="465"/>
                          </a:xfrm>
                          <a:prstGeom prst="straightConnector1">
                            <a:avLst/>
                          </a:prstGeom>
                          <a:ln w="6350" cap="flat" cmpd="sng">
                            <a:solidFill>
                              <a:srgbClr val="000000"/>
                            </a:solidFill>
                            <a:prstDash val="solid"/>
                            <a:miter/>
                            <a:headEnd type="none" w="med" len="med"/>
                            <a:tailEnd type="arrow" w="med" len="med"/>
                          </a:ln>
                        </wps:spPr>
                        <wps:bodyPr/>
                      </wps:wsp>
                      <wps:wsp>
                        <wps:cNvPr id="22" name="直接箭头连接符 22"/>
                        <wps:cNvCnPr>
                          <a:stCxn id="17" idx="2"/>
                          <a:endCxn id="18" idx="0"/>
                        </wps:cNvCnPr>
                        <wps:spPr>
                          <a:xfrm>
                            <a:off x="11023" y="4425"/>
                            <a:ext cx="14" cy="465"/>
                          </a:xfrm>
                          <a:prstGeom prst="straightConnector1">
                            <a:avLst/>
                          </a:prstGeom>
                          <a:ln w="6350" cap="flat" cmpd="sng">
                            <a:solidFill>
                              <a:srgbClr val="000000"/>
                            </a:solidFill>
                            <a:prstDash val="solid"/>
                            <a:miter/>
                            <a:headEnd type="none" w="med" len="med"/>
                            <a:tailEnd type="arrow" w="med" len="med"/>
                          </a:ln>
                        </wps:spPr>
                        <wps:bodyPr/>
                      </wps:wsp>
                      <wps:wsp>
                        <wps:cNvPr id="23" name="直接箭头连接符 23"/>
                        <wps:cNvCnPr>
                          <a:stCxn id="17" idx="2"/>
                          <a:endCxn id="18" idx="0"/>
                        </wps:cNvCnPr>
                        <wps:spPr>
                          <a:xfrm>
                            <a:off x="11008" y="6390"/>
                            <a:ext cx="14" cy="465"/>
                          </a:xfrm>
                          <a:prstGeom prst="straightConnector1">
                            <a:avLst/>
                          </a:prstGeom>
                          <a:ln w="6350" cap="flat" cmpd="sng">
                            <a:solidFill>
                              <a:srgbClr val="000000"/>
                            </a:solidFill>
                            <a:prstDash val="solid"/>
                            <a:miter/>
                            <a:headEnd type="none" w="med" len="med"/>
                            <a:tailEnd type="arrow" w="med" len="med"/>
                          </a:ln>
                        </wps:spPr>
                        <wps:bodyPr/>
                      </wps:wsp>
                      <wps:wsp>
                        <wps:cNvPr id="24" name="文本框 24"/>
                        <wps:cNvSpPr txBox="true"/>
                        <wps:spPr>
                          <a:xfrm>
                            <a:off x="8900" y="4890"/>
                            <a:ext cx="4244" cy="510"/>
                          </a:xfrm>
                          <a:prstGeom prst="rect">
                            <a:avLst/>
                          </a:prstGeom>
                          <a:solidFill>
                            <a:srgbClr val="FFFFFF"/>
                          </a:solidFill>
                          <a:ln w="6350" cap="flat" cmpd="sng">
                            <a:solidFill>
                              <a:srgbClr val="000000"/>
                            </a:solidFill>
                            <a:prstDash val="solid"/>
                            <a:round/>
                            <a:headEnd type="none" w="med" len="med"/>
                            <a:tailEnd type="none" w="med" len="med"/>
                          </a:ln>
                        </wps:spPr>
                        <wps:txbx>
                          <w:txbxContent>
                            <w:p>
                              <w:pPr>
                                <w:autoSpaceDE w:val="0"/>
                                <w:autoSpaceDN w:val="0"/>
                                <w:ind w:left="0" w:leftChars="0" w:firstLine="0" w:firstLineChars="0"/>
                                <w:jc w:val="center"/>
                                <w:rPr>
                                  <w:rFonts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 w:eastAsia="zh-CN" w:bidi="ar-SA"/>
                                </w:rPr>
                                <w:t>选定评价参数、评价的产地环境标准</w:t>
                              </w:r>
                            </w:p>
                          </w:txbxContent>
                        </wps:txbx>
                        <wps:bodyPr upright="true"/>
                      </wps:wsp>
                      <wps:wsp>
                        <wps:cNvPr id="25" name="直接箭头连接符 25"/>
                        <wps:cNvCnPr>
                          <a:stCxn id="17" idx="2"/>
                          <a:endCxn id="18" idx="0"/>
                        </wps:cNvCnPr>
                        <wps:spPr>
                          <a:xfrm>
                            <a:off x="11023" y="5415"/>
                            <a:ext cx="14" cy="465"/>
                          </a:xfrm>
                          <a:prstGeom prst="straightConnector1">
                            <a:avLst/>
                          </a:prstGeom>
                          <a:ln w="6350" cap="flat" cmpd="sng">
                            <a:solidFill>
                              <a:srgbClr val="000000"/>
                            </a:solidFill>
                            <a:prstDash val="solid"/>
                            <a:miter/>
                            <a:headEnd type="none" w="med" len="med"/>
                            <a:tailEnd type="arrow" w="med" len="med"/>
                          </a:ln>
                        </wps:spPr>
                        <wps:bodyPr/>
                      </wps:wsp>
                      <wps:wsp>
                        <wps:cNvPr id="26" name="文本框 26"/>
                        <wps:cNvSpPr txBox="true"/>
                        <wps:spPr>
                          <a:xfrm>
                            <a:off x="8885" y="5895"/>
                            <a:ext cx="4244" cy="510"/>
                          </a:xfrm>
                          <a:prstGeom prst="rect">
                            <a:avLst/>
                          </a:prstGeom>
                          <a:solidFill>
                            <a:srgbClr val="FFFFFF"/>
                          </a:solidFill>
                          <a:ln w="6350" cap="flat" cmpd="sng">
                            <a:solidFill>
                              <a:srgbClr val="000000"/>
                            </a:solidFill>
                            <a:prstDash val="solid"/>
                            <a:round/>
                            <a:headEnd type="none" w="med" len="med"/>
                            <a:tailEnd type="none" w="med" len="med"/>
                          </a:ln>
                        </wps:spPr>
                        <wps:txbx>
                          <w:txbxContent>
                            <w:p>
                              <w:pPr>
                                <w:autoSpaceDE w:val="0"/>
                                <w:autoSpaceDN w:val="0"/>
                                <w:ind w:left="0" w:leftChars="0" w:firstLine="0" w:firstLineChars="0"/>
                                <w:jc w:val="center"/>
                                <w:rPr>
                                  <w:rFonts w:ascii="宋体" w:hAnsi="Times New Roman" w:eastAsia="宋体" w:cs="Times New Roman"/>
                                  <w:b w:val="0"/>
                                  <w:bCs/>
                                  <w:sz w:val="21"/>
                                  <w:lang w:val="en-US" w:eastAsia="zh-CN" w:bidi="ar-SA"/>
                                </w:rPr>
                              </w:pPr>
                              <w:r>
                                <w:rPr>
                                  <w:rFonts w:hint="default" w:ascii="宋体" w:hAnsi="Times New Roman" w:eastAsia="宋体" w:cs="Times New Roman"/>
                                  <w:b w:val="0"/>
                                  <w:bCs/>
                                  <w:sz w:val="21"/>
                                  <w:lang w:val="en-US" w:eastAsia="zh-CN" w:bidi="ar-SA"/>
                                </w:rPr>
                                <w:t>选择评价数学模式并进行评价</w:t>
                              </w:r>
                            </w:p>
                          </w:txbxContent>
                        </wps:txbx>
                        <wps:bodyPr upright="true"/>
                      </wps:wsp>
                      <wps:wsp>
                        <wps:cNvPr id="27" name="文本框 27"/>
                        <wps:cNvSpPr txBox="true"/>
                        <wps:spPr>
                          <a:xfrm>
                            <a:off x="8900" y="6855"/>
                            <a:ext cx="4244" cy="510"/>
                          </a:xfrm>
                          <a:prstGeom prst="rect">
                            <a:avLst/>
                          </a:prstGeom>
                          <a:solidFill>
                            <a:srgbClr val="FFFFFF"/>
                          </a:solidFill>
                          <a:ln w="6350" cap="flat" cmpd="sng">
                            <a:solidFill>
                              <a:srgbClr val="000000"/>
                            </a:solidFill>
                            <a:prstDash val="solid"/>
                            <a:round/>
                            <a:headEnd type="none" w="med" len="med"/>
                            <a:tailEnd type="none" w="med" len="med"/>
                          </a:ln>
                        </wps:spPr>
                        <wps:txbx>
                          <w:txbxContent>
                            <w:p>
                              <w:pPr>
                                <w:autoSpaceDE w:val="0"/>
                                <w:autoSpaceDN w:val="0"/>
                                <w:ind w:left="0" w:leftChars="0" w:firstLine="0" w:firstLineChars="0"/>
                                <w:jc w:val="center"/>
                                <w:rPr>
                                  <w:rFonts w:ascii="宋体" w:hAnsi="Times New Roman" w:eastAsia="宋体" w:cs="Times New Roman"/>
                                  <w:b w:val="0"/>
                                  <w:bCs/>
                                  <w:sz w:val="21"/>
                                  <w:lang w:val="en-US" w:eastAsia="zh-CN" w:bidi="ar-SA"/>
                                </w:rPr>
                              </w:pPr>
                              <w:r>
                                <w:rPr>
                                  <w:rFonts w:hint="default" w:ascii="宋体" w:hAnsi="Times New Roman" w:eastAsia="宋体" w:cs="Times New Roman"/>
                                  <w:b w:val="0"/>
                                  <w:bCs/>
                                  <w:sz w:val="21"/>
                                  <w:lang w:val="en-US" w:eastAsia="zh-CN" w:bidi="ar-SA"/>
                                </w:rPr>
                                <w:t>甘薯产地环境评价结论</w:t>
                              </w:r>
                            </w:p>
                          </w:txbxContent>
                        </wps:txbx>
                        <wps:bodyPr upright="true"/>
                      </wps:wsp>
                    </wpg:wgp>
                  </a:graphicData>
                </a:graphic>
              </wp:anchor>
            </w:drawing>
          </mc:Choice>
          <mc:Fallback>
            <w:pict>
              <v:group id="_x0000_s1026" o:spid="_x0000_s1026" o:spt="203" style="position:absolute;left:0pt;margin-left:131.7pt;margin-top:7.95pt;height:235pt;width:219.25pt;z-index:251660288;mso-width-relative:page;mso-height-relative:page;" coordorigin="8885,1905" coordsize="4259,5460" o:gfxdata="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">
                <o:lock v:ext="edit" aspectratio="f"/>
                <v:shape id="_x0000_s1026" o:spid="_x0000_s1026" o:spt="202" type="#_x0000_t202" style="position:absolute;left:8885;top:1905;height:510;width:4245;" fillcolor="#FFFFFF" filled="t" stroked="t" coordsize="21600,21600" o:gfxdata="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HMdGlK1AAAA2wAAAA8AAAAAAAAAAQAgAAAAOAAAAGRycy9kb3ducmV2LnhtbFBLAQIU&#10;ABQAAAAIAIdO4kAzLwWeOwAAADkAAAAQAAAAAAAAAAEAIAAAABoBAABkcnMvc2hhcGV4bWwueG1s&#10;UEsFBgAAAAAGAAYAWwEAAMQDAAAAAA==&#10;">
                  <v:fill on="t" focussize="0,0"/>
                  <v:stroke weight="0.5pt" color="#000000" joinstyle="round"/>
                  <v:imagedata o:title=""/>
                  <o:lock v:ext="edit" aspectratio="f"/>
                  <v:textbox>
                    <w:txbxContent>
                      <w:p>
                        <w:pPr>
                          <w:keepNext w:val="0"/>
                          <w:keepLines w:val="0"/>
                          <w:pageBreakBefore w:val="0"/>
                          <w:widowControl w:val="0"/>
                          <w:kinsoku/>
                          <w:wordWrap/>
                          <w:overflowPunct/>
                          <w:topLinePunct w:val="0"/>
                          <w:bidi w:val="0"/>
                          <w:adjustRightInd w:val="0"/>
                          <w:snapToGrid/>
                          <w:spacing w:line="300" w:lineRule="exact"/>
                          <w:jc w:val="center"/>
                          <w:textAlignment w:val="auto"/>
                          <w:rPr>
                            <w:rFonts w:hint="default" w:ascii="Calibri" w:hAnsi="Calibri" w:cs="Times New Roman"/>
                            <w:b w:val="0"/>
                            <w:szCs w:val="21"/>
                          </w:rPr>
                        </w:pPr>
                        <w:r>
                          <w:rPr>
                            <w:rFonts w:hint="default" w:ascii="Calibri" w:hAnsi="Calibri" w:cs="Times New Roman"/>
                            <w:b w:val="0"/>
                            <w:szCs w:val="21"/>
                            <w:lang w:val="en-US" w:eastAsia="zh-CN"/>
                          </w:rPr>
                          <w:t>甘薯产地环境质量现状考察</w:t>
                        </w:r>
                      </w:p>
                    </w:txbxContent>
                  </v:textbox>
                </v:shape>
                <v:shape id="_x0000_s1026" o:spid="_x0000_s1026" o:spt="202" type="#_x0000_t202" style="position:absolute;left:8900;top:2880;height:510;width:4244;" fillcolor="#FFFFFF" filled="t" stroked="t" coordsize="21600,21600" o:gfxdata="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&#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AKCjiC4AAAA2wAAAA8AAAAAAAAAAQAgAAAAOAAAAGRycy9kb3ducmV2LnhtbFBL&#10;AQIUABQAAAAIAIdO4kAzLwWeOwAAADkAAAAQAAAAAAAAAAEAIAAAAB0BAABkcnMvc2hhcGV4bWwu&#10;eG1sUEsFBgAAAAAGAAYAWwEAAMcDAAAAAA==&#10;">
                  <v:fill on="t" focussize="0,0"/>
                  <v:stroke weight="0.5pt" color="#000000" joinstyle="round"/>
                  <v:imagedata o:title=""/>
                  <o:lock v:ext="edit" aspectratio="f"/>
                  <v:textbox>
                    <w:txbxContent>
                      <w:p>
                        <w:pPr>
                          <w:autoSpaceDE w:val="0"/>
                          <w:autoSpaceDN w:val="0"/>
                          <w:ind w:left="0" w:leftChars="0" w:firstLine="0" w:firstLineChars="0"/>
                          <w:jc w:val="both"/>
                          <w:rPr>
                            <w:rFonts w:hint="default" w:ascii="宋体" w:hAnsi="Times New Roman" w:eastAsia="宋体" w:cs="Times New Roman"/>
                            <w:b w:val="0"/>
                            <w:bCs/>
                            <w:sz w:val="21"/>
                            <w:lang w:val="en-US" w:eastAsia="zh-CN" w:bidi="ar-SA"/>
                          </w:rPr>
                        </w:pPr>
                        <w:r>
                          <w:rPr>
                            <w:rFonts w:hint="default" w:ascii="宋体" w:hAnsi="Times New Roman" w:eastAsia="宋体" w:cs="Times New Roman"/>
                            <w:b w:val="0"/>
                            <w:bCs/>
                            <w:sz w:val="21"/>
                            <w:lang w:val="en-US" w:eastAsia="zh-CN" w:bidi="ar-SA"/>
                          </w:rPr>
                          <w:t>甘薯产地环境要素调查、布点、采样、检测</w:t>
                        </w:r>
                      </w:p>
                      <w:p>
                        <w:pPr>
                          <w:adjustRightInd w:val="0"/>
                          <w:spacing w:line="400" w:lineRule="exact"/>
                          <w:rPr>
                            <w:rFonts w:hint="default" w:ascii="Calibri" w:hAnsi="Calibri" w:cs="Times New Roman"/>
                            <w:b w:val="0"/>
                            <w:szCs w:val="21"/>
                          </w:rPr>
                        </w:pPr>
                      </w:p>
                    </w:txbxContent>
                  </v:textbox>
                </v:shape>
                <v:shape id="_x0000_s1026" o:spid="_x0000_s1026" o:spt="202" type="#_x0000_t202" style="position:absolute;left:8900;top:3915;height:510;width:4244;" fillcolor="#FFFFFF" filled="t" stroked="t" coordsize="21600,21600" o:gfxdata="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G3OK7u1AAAA2wAAAA8AAAAAAAAAAQAgAAAAOAAAAGRycy9kb3ducmV2LnhtbFBLAQIU&#10;ABQAAAAIAIdO4kAzLwWeOwAAADkAAAAQAAAAAAAAAAEAIAAAABoBAABkcnMvc2hhcGV4bWwueG1s&#10;UEsFBgAAAAAGAAYAWwEAAMQDAAAAAA==&#10;">
                  <v:fill on="t" focussize="0,0"/>
                  <v:stroke weight="0.5pt" color="#000000" joinstyle="round"/>
                  <v:imagedata o:title=""/>
                  <o:lock v:ext="edit" aspectratio="f"/>
                  <v:textbox>
                    <w:txbxContent>
                      <w:p>
                        <w:pPr>
                          <w:autoSpaceDE w:val="0"/>
                          <w:autoSpaceDN w:val="0"/>
                          <w:ind w:left="0" w:leftChars="0" w:firstLine="0" w:firstLineChars="0"/>
                          <w:jc w:val="center"/>
                          <w:rPr>
                            <w:rFonts w:ascii="宋体" w:hAnsi="Times New Roman" w:eastAsia="宋体" w:cs="Times New Roman"/>
                            <w:b w:val="0"/>
                            <w:bCs/>
                            <w:sz w:val="21"/>
                            <w:lang w:val="en-US" w:eastAsia="zh-CN" w:bidi="ar-SA"/>
                          </w:rPr>
                        </w:pPr>
                        <w:r>
                          <w:rPr>
                            <w:rFonts w:hint="default" w:ascii="宋体" w:hAnsi="Times New Roman" w:eastAsia="宋体" w:cs="Times New Roman"/>
                            <w:b w:val="0"/>
                            <w:bCs/>
                            <w:sz w:val="21"/>
                            <w:lang w:val="en-US" w:eastAsia="zh-CN" w:bidi="ar-SA"/>
                          </w:rPr>
                          <w:t>调查资料及监测数据的分析、整理</w:t>
                        </w:r>
                      </w:p>
                    </w:txbxContent>
                  </v:textbox>
                </v:shape>
                <v:shape id="_x0000_s1026" o:spid="_x0000_s1026" o:spt="32" type="#_x0000_t32" style="position:absolute;left:11008;top:2415;height:465;width:14;" filled="f" stroked="t" coordsize="21600,21600" o:gfxdata="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">
                  <v:fill on="f" focussize="0,0"/>
                  <v:stroke weight="0.5pt" color="#000000" joinstyle="miter" endarrow="open"/>
                  <v:imagedata o:title=""/>
                  <o:lock v:ext="edit" aspectratio="f"/>
                </v:shape>
                <v:shape id="_x0000_s1026" o:spid="_x0000_s1026" o:spt="32" type="#_x0000_t32" style="position:absolute;left:10993;top:3435;height:465;width:14;" filled="f" stroked="t" coordsize="21600,21600" o:gfxdata="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xrILUvAAAANsAAAAPAAAAAAAAAAEAIAAAADgAAABkcnMvZG93bnJldi54&#10;bWxQSwECFAAUAAAACACHTuJAMy8FnjsAAAA5AAAAEAAAAAAAAAABACAAAAAhAQAAZHJzL3NoYXBl&#10;eG1sLnhtbFBLBQYAAAAABgAGAFsBAADLAwAAAAA=&#10;">
                  <v:fill on="f" focussize="0,0"/>
                  <v:stroke weight="0.5pt" color="#000000" joinstyle="miter" endarrow="open"/>
                  <v:imagedata o:title=""/>
                  <o:lock v:ext="edit" aspectratio="f"/>
                </v:shape>
                <v:shape id="_x0000_s1026" o:spid="_x0000_s1026" o:spt="32" type="#_x0000_t32" style="position:absolute;left:11023;top:4425;height:465;width:14;" filled="f" stroked="t" coordsize="21600,21600" o:gfxdata="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BfhyjvAAAANsAAAAPAAAAAAAAAAEAIAAAADgAAABkcnMvZG93bnJldi54&#10;bWxQSwECFAAUAAAACACHTuJAMy8FnjsAAAA5AAAAEAAAAAAAAAABACAAAAAhAQAAZHJzL3NoYXBl&#10;eG1sLnhtbFBLBQYAAAAABgAGAFsBAADLAwAAAAA=&#10;">
                  <v:fill on="f" focussize="0,0"/>
                  <v:stroke weight="0.5pt" color="#000000" joinstyle="miter" endarrow="open"/>
                  <v:imagedata o:title=""/>
                  <o:lock v:ext="edit" aspectratio="f"/>
                </v:shape>
                <v:shape id="_x0000_s1026" o:spid="_x0000_s1026" o:spt="32" type="#_x0000_t32" style="position:absolute;left:11008;top:6390;height:465;width:14;" filled="f" stroked="t" coordsize="21600,21600" o:gfxdata="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LjK5OL0AAADbAAAADwAAAAAAAAABACAAAAA4AAAAZHJzL2Rvd25yZXYu&#10;eG1sUEsBAhQAFAAAAAgAh07iQDMvBZ47AAAAOQAAABAAAAAAAAAAAQAgAAAAIgEAAGRycy9zaGFw&#10;ZXhtbC54bWxQSwUGAAAAAAYABgBbAQAAzAMAAAAA&#10;">
                  <v:fill on="f" focussize="0,0"/>
                  <v:stroke weight="0.5pt" color="#000000" joinstyle="miter" endarrow="open"/>
                  <v:imagedata o:title=""/>
                  <o:lock v:ext="edit" aspectratio="f"/>
                </v:shape>
                <v:shape id="_x0000_s1026" o:spid="_x0000_s1026" o:spt="202" type="#_x0000_t202" style="position:absolute;left:8900;top:4890;height:510;width:4244;" fillcolor="#FFFFFF" filled="t" stroked="t" coordsize="21600,21600" o:gfxdata="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">
                  <v:fill on="t" focussize="0,0"/>
                  <v:stroke weight="0.5pt" color="#000000" joinstyle="round"/>
                  <v:imagedata o:title=""/>
                  <o:lock v:ext="edit" aspectratio="f"/>
                  <v:textbox>
                    <w:txbxContent>
                      <w:p>
                        <w:pPr>
                          <w:autoSpaceDE w:val="0"/>
                          <w:autoSpaceDN w:val="0"/>
                          <w:ind w:left="0" w:leftChars="0" w:firstLine="0" w:firstLineChars="0"/>
                          <w:jc w:val="center"/>
                          <w:rPr>
                            <w:rFonts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 w:eastAsia="zh-CN" w:bidi="ar-SA"/>
                          </w:rPr>
                          <w:t>选定评价参数、评价的产地环境标准</w:t>
                        </w:r>
                      </w:p>
                    </w:txbxContent>
                  </v:textbox>
                </v:shape>
                <v:shape id="_x0000_s1026" o:spid="_x0000_s1026" o:spt="32" type="#_x0000_t32" style="position:absolute;left:11023;top:5415;height:465;width:14;" filled="f" stroked="t" coordsize="21600,21600" o:gfxdata="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Ol4TXvAAAANsAAAAPAAAAAAAAAAEAIAAAADgAAABkcnMvZG93bnJldi54&#10;bWxQSwECFAAUAAAACACHTuJAMy8FnjsAAAA5AAAAEAAAAAAAAAABACAAAAAhAQAAZHJzL3NoYXBl&#10;eG1sLnhtbFBLBQYAAAAABgAGAFsBAADLAwAAAAA=&#10;">
                  <v:fill on="f" focussize="0,0"/>
                  <v:stroke weight="0.5pt" color="#000000" joinstyle="miter" endarrow="open"/>
                  <v:imagedata o:title=""/>
                  <o:lock v:ext="edit" aspectratio="f"/>
                </v:shape>
                <v:shape id="_x0000_s1026" o:spid="_x0000_s1026" o:spt="202" type="#_x0000_t202" style="position:absolute;left:8885;top:5895;height:510;width:4244;" fillcolor="#FFFFFF" filled="t" stroked="t" coordsize="21600,21600" o:gfxdata="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">
                  <v:fill on="t" focussize="0,0"/>
                  <v:stroke weight="0.5pt" color="#000000" joinstyle="round"/>
                  <v:imagedata o:title=""/>
                  <o:lock v:ext="edit" aspectratio="f"/>
                  <v:textbox>
                    <w:txbxContent>
                      <w:p>
                        <w:pPr>
                          <w:autoSpaceDE w:val="0"/>
                          <w:autoSpaceDN w:val="0"/>
                          <w:ind w:left="0" w:leftChars="0" w:firstLine="0" w:firstLineChars="0"/>
                          <w:jc w:val="center"/>
                          <w:rPr>
                            <w:rFonts w:ascii="宋体" w:hAnsi="Times New Roman" w:eastAsia="宋体" w:cs="Times New Roman"/>
                            <w:b w:val="0"/>
                            <w:bCs/>
                            <w:sz w:val="21"/>
                            <w:lang w:val="en-US" w:eastAsia="zh-CN" w:bidi="ar-SA"/>
                          </w:rPr>
                        </w:pPr>
                        <w:r>
                          <w:rPr>
                            <w:rFonts w:hint="default" w:ascii="宋体" w:hAnsi="Times New Roman" w:eastAsia="宋体" w:cs="Times New Roman"/>
                            <w:b w:val="0"/>
                            <w:bCs/>
                            <w:sz w:val="21"/>
                            <w:lang w:val="en-US" w:eastAsia="zh-CN" w:bidi="ar-SA"/>
                          </w:rPr>
                          <w:t>选择评价数学模式并进行评价</w:t>
                        </w:r>
                      </w:p>
                    </w:txbxContent>
                  </v:textbox>
                </v:shape>
                <v:shape id="_x0000_s1026" o:spid="_x0000_s1026" o:spt="202" type="#_x0000_t202" style="position:absolute;left:8900;top:6855;height:510;width:4244;" fillcolor="#FFFFFF" filled="t" stroked="t" coordsize="21600,21600" o:gfxdata="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">
                  <v:fill on="t" focussize="0,0"/>
                  <v:stroke weight="0.5pt" color="#000000" joinstyle="round"/>
                  <v:imagedata o:title=""/>
                  <o:lock v:ext="edit" aspectratio="f"/>
                  <v:textbox>
                    <w:txbxContent>
                      <w:p>
                        <w:pPr>
                          <w:autoSpaceDE w:val="0"/>
                          <w:autoSpaceDN w:val="0"/>
                          <w:ind w:left="0" w:leftChars="0" w:firstLine="0" w:firstLineChars="0"/>
                          <w:jc w:val="center"/>
                          <w:rPr>
                            <w:rFonts w:ascii="宋体" w:hAnsi="Times New Roman" w:eastAsia="宋体" w:cs="Times New Roman"/>
                            <w:b w:val="0"/>
                            <w:bCs/>
                            <w:sz w:val="21"/>
                            <w:lang w:val="en-US" w:eastAsia="zh-CN" w:bidi="ar-SA"/>
                          </w:rPr>
                        </w:pPr>
                        <w:r>
                          <w:rPr>
                            <w:rFonts w:hint="default" w:ascii="宋体" w:hAnsi="Times New Roman" w:eastAsia="宋体" w:cs="Times New Roman"/>
                            <w:b w:val="0"/>
                            <w:bCs/>
                            <w:sz w:val="21"/>
                            <w:lang w:val="en-US" w:eastAsia="zh-CN" w:bidi="ar-SA"/>
                          </w:rPr>
                          <w:t>甘薯产地环境评价结论</w:t>
                        </w:r>
                      </w:p>
                    </w:txbxContent>
                  </v:textbox>
                </v:shape>
              </v:group>
            </w:pict>
          </mc:Fallback>
        </mc:AlternateContent>
      </w: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autoSpaceDE w:val="0"/>
        <w:autoSpaceDN w:val="0"/>
        <w:ind w:firstLine="420" w:firstLineChars="200"/>
        <w:jc w:val="both"/>
        <w:rPr>
          <w:rFonts w:hint="eastAsia" w:ascii="宋体" w:hAnsi="Times New Roman" w:eastAsia="宋体" w:cs="Times New Roman"/>
          <w:b w:val="0"/>
          <w:bCs/>
          <w:sz w:val="21"/>
          <w:lang w:val="en-US" w:eastAsia="zh-CN" w:bidi="ar-SA"/>
        </w:rPr>
      </w:pPr>
    </w:p>
    <w:p>
      <w:pPr>
        <w:numPr>
          <w:ilvl w:val="0"/>
          <w:numId w:val="18"/>
        </w:numPr>
        <w:spacing w:before="156" w:beforeLines="50" w:after="156" w:afterLines="50"/>
        <w:jc w:val="center"/>
        <w:rPr>
          <w:rFonts w:hint="default" w:ascii="黑体" w:hAnsi="Times New Roman" w:eastAsia="黑体" w:cs="Times New Roman"/>
          <w:b w:val="0"/>
          <w:bCs/>
          <w:sz w:val="21"/>
          <w:lang w:val="en-US" w:eastAsia="zh-CN" w:bidi="ar-SA"/>
        </w:rPr>
      </w:pPr>
      <w:r>
        <w:rPr>
          <w:rFonts w:hint="eastAsia" w:ascii="黑体" w:hAnsi="Times New Roman" w:eastAsia="黑体" w:cs="Times New Roman"/>
          <w:b w:val="0"/>
          <w:bCs/>
          <w:sz w:val="21"/>
          <w:lang w:val="en-US" w:eastAsia="zh-CN" w:bidi="ar-SA"/>
        </w:rPr>
        <w:t>甘薯产地环境评价流程图</w:t>
      </w:r>
    </w:p>
    <w:p>
      <w:pPr>
        <w:pStyle w:val="71"/>
        <w:bidi w:val="0"/>
        <w:rPr>
          <w:rFonts w:hint="eastAsia"/>
          <w:lang w:val="en-US" w:eastAsia="zh-CN"/>
        </w:rPr>
      </w:pPr>
      <w:bookmarkStart w:id="40" w:name="_Toc1094308102"/>
      <w:bookmarkStart w:id="41" w:name="_Toc1453771598"/>
      <w:bookmarkStart w:id="42" w:name="_Toc115186383"/>
      <w:r>
        <w:rPr>
          <w:rFonts w:hint="eastAsia"/>
          <w:lang w:val="en-US" w:eastAsia="zh-CN"/>
        </w:rPr>
        <w:t>评价</w:t>
      </w:r>
      <w:bookmarkEnd w:id="40"/>
      <w:bookmarkEnd w:id="41"/>
      <w:bookmarkEnd w:id="42"/>
      <w:r>
        <w:rPr>
          <w:rFonts w:hint="eastAsia"/>
          <w:lang w:val="en-US" w:eastAsia="zh-CN"/>
        </w:rPr>
        <w:t>指标</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根据环境要素中污染因子的毒理学特征和生物吸收、富集能力，将甘薯产地环境条件标准中的项目分为严格控制指标和一般控制指标两类，表1中所列项目为严格控制指标项目，其他项目为一般控制指标项目。</w:t>
      </w:r>
    </w:p>
    <w:p>
      <w:pPr>
        <w:numPr>
          <w:ilvl w:val="0"/>
          <w:numId w:val="19"/>
        </w:numPr>
        <w:tabs>
          <w:tab w:val="left" w:pos="0"/>
        </w:tabs>
        <w:spacing w:before="156" w:beforeLines="50" w:after="156" w:afterLines="50"/>
        <w:jc w:val="center"/>
        <w:rPr>
          <w:rFonts w:hint="eastAsia" w:ascii="黑体" w:hAnsi="Times New Roman" w:eastAsia="黑体" w:cs="Times New Roman"/>
          <w:b w:val="0"/>
          <w:bCs/>
          <w:sz w:val="21"/>
          <w:lang w:val="en-US" w:eastAsia="zh-CN" w:bidi="ar-SA"/>
        </w:rPr>
      </w:pPr>
      <w:r>
        <w:rPr>
          <w:rFonts w:hint="eastAsia" w:ascii="黑体" w:hAnsi="Times New Roman" w:eastAsia="黑体" w:cs="Times New Roman"/>
          <w:b w:val="0"/>
          <w:bCs/>
          <w:sz w:val="21"/>
          <w:lang w:val="en-US" w:eastAsia="zh-CN" w:bidi="ar-SA"/>
        </w:rPr>
        <w:t>严格控制指标项目</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59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tcBorders>
              <w:top w:val="single" w:color="auto" w:sz="8"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hint="eastAsia" w:ascii="宋体" w:hAnsi="Times New Roman" w:eastAsia="宋体" w:cs="Times New Roman"/>
                <w:b w:val="0"/>
                <w:bCs/>
                <w:kern w:val="2"/>
                <w:sz w:val="21"/>
                <w:szCs w:val="21"/>
                <w:lang w:val="en-US" w:eastAsia="zh-CN" w:bidi="ar-SA"/>
              </w:rPr>
            </w:pPr>
            <w:r>
              <w:rPr>
                <w:rFonts w:hint="eastAsia" w:ascii="宋体" w:hAnsi="Times New Roman" w:eastAsia="宋体" w:cs="Times New Roman"/>
                <w:b w:val="0"/>
                <w:bCs/>
                <w:sz w:val="21"/>
                <w:szCs w:val="21"/>
                <w:lang w:val="en-US" w:eastAsia="zh-CN" w:bidi="ar-SA"/>
              </w:rPr>
              <w:t>类别</w:t>
            </w:r>
          </w:p>
        </w:tc>
        <w:tc>
          <w:tcPr>
            <w:tcW w:w="5940" w:type="dxa"/>
            <w:tcBorders>
              <w:top w:val="single" w:color="auto" w:sz="8"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hint="eastAsia" w:ascii="宋体" w:hAnsi="Times New Roman" w:eastAsia="宋体" w:cs="Times New Roman"/>
                <w:b w:val="0"/>
                <w:bCs/>
                <w:kern w:val="2"/>
                <w:sz w:val="21"/>
                <w:szCs w:val="21"/>
                <w:lang w:val="en-US" w:eastAsia="zh-CN" w:bidi="ar-SA"/>
              </w:rPr>
            </w:pPr>
            <w:r>
              <w:rPr>
                <w:rFonts w:hint="eastAsia" w:ascii="宋体" w:hAnsi="Times New Roman" w:eastAsia="宋体" w:cs="Times New Roman"/>
                <w:b w:val="0"/>
                <w:bCs/>
                <w:sz w:val="21"/>
                <w:szCs w:val="21"/>
                <w:lang w:val="en-US" w:eastAsia="zh-CN" w:bidi="ar-SA"/>
              </w:rPr>
              <w:t>指标项目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tcBorders>
              <w:top w:val="single" w:color="auto" w:sz="8" w:space="0"/>
            </w:tcBorders>
            <w:noWrap w:val="0"/>
            <w:vAlign w:val="center"/>
          </w:tcPr>
          <w:p>
            <w:pPr>
              <w:tabs>
                <w:tab w:val="center" w:pos="4201"/>
                <w:tab w:val="right" w:leader="dot" w:pos="9298"/>
              </w:tabs>
              <w:autoSpaceDE w:val="0"/>
              <w:autoSpaceDN w:val="0"/>
              <w:ind w:firstLine="0" w:firstLineChars="0"/>
              <w:jc w:val="center"/>
              <w:rPr>
                <w:rFonts w:hint="eastAsia" w:ascii="宋体" w:hAnsi="Times New Roman" w:eastAsia="宋体" w:cs="Times New Roman"/>
                <w:b w:val="0"/>
                <w:bCs/>
                <w:kern w:val="2"/>
                <w:sz w:val="21"/>
                <w:szCs w:val="21"/>
                <w:lang w:val="en-US" w:eastAsia="zh-CN" w:bidi="ar-SA"/>
              </w:rPr>
            </w:pPr>
            <w:r>
              <w:rPr>
                <w:rFonts w:hint="eastAsia" w:ascii="宋体" w:hAnsi="Times New Roman" w:eastAsia="宋体" w:cs="Times New Roman"/>
                <w:b w:val="0"/>
                <w:bCs/>
                <w:sz w:val="21"/>
                <w:szCs w:val="21"/>
                <w:lang w:val="en-US" w:eastAsia="zh-CN" w:bidi="ar-SA"/>
              </w:rPr>
              <w:t>土壤</w:t>
            </w:r>
          </w:p>
        </w:tc>
        <w:tc>
          <w:tcPr>
            <w:tcW w:w="5940" w:type="dxa"/>
            <w:tcBorders>
              <w:top w:val="single" w:color="auto" w:sz="8"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21"/>
                <w:szCs w:val="21"/>
                <w:lang w:val="en-US" w:eastAsia="zh-CN" w:bidi="ar-SA"/>
              </w:rPr>
            </w:pPr>
            <w:r>
              <w:rPr>
                <w:rFonts w:hint="eastAsia" w:ascii="宋体" w:hAnsi="Times New Roman" w:eastAsia="宋体" w:cs="Times New Roman"/>
                <w:b w:val="0"/>
                <w:bCs/>
                <w:sz w:val="21"/>
                <w:szCs w:val="21"/>
                <w:lang w:val="en-US" w:eastAsia="zh-CN" w:bidi="ar-SA"/>
              </w:rPr>
              <w:t>铅、</w:t>
            </w:r>
            <w:bookmarkStart w:id="51" w:name="_GoBack"/>
            <w:bookmarkEnd w:id="51"/>
            <w:r>
              <w:rPr>
                <w:rFonts w:hint="eastAsia" w:ascii="宋体" w:hAnsi="Times New Roman" w:eastAsia="宋体" w:cs="Times New Roman"/>
                <w:b w:val="0"/>
                <w:bCs/>
                <w:sz w:val="21"/>
                <w:szCs w:val="21"/>
                <w:lang w:val="en-US" w:eastAsia="zh-CN" w:bidi="ar-SA"/>
              </w:rPr>
              <w:t>镉、汞、砷、铬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noWrap w:val="0"/>
            <w:vAlign w:val="center"/>
          </w:tcPr>
          <w:p>
            <w:pPr>
              <w:tabs>
                <w:tab w:val="center" w:pos="4201"/>
                <w:tab w:val="right" w:leader="dot" w:pos="9298"/>
              </w:tabs>
              <w:autoSpaceDE w:val="0"/>
              <w:autoSpaceDN w:val="0"/>
              <w:ind w:firstLine="0" w:firstLineChars="0"/>
              <w:jc w:val="center"/>
              <w:rPr>
                <w:rFonts w:hint="eastAsia" w:ascii="宋体" w:hAnsi="Times New Roman" w:eastAsia="宋体" w:cs="Times New Roman"/>
                <w:b w:val="0"/>
                <w:bCs/>
                <w:sz w:val="21"/>
                <w:szCs w:val="21"/>
                <w:lang w:val="en-US" w:eastAsia="zh-CN" w:bidi="ar-SA"/>
              </w:rPr>
            </w:pPr>
            <w:r>
              <w:rPr>
                <w:rFonts w:hint="eastAsia" w:ascii="宋体" w:hAnsi="Times New Roman" w:eastAsia="宋体" w:cs="Times New Roman"/>
                <w:b w:val="0"/>
                <w:bCs/>
                <w:sz w:val="21"/>
                <w:szCs w:val="21"/>
                <w:lang w:val="en-US" w:eastAsia="zh-CN" w:bidi="ar-SA"/>
              </w:rPr>
              <w:t>灌溉水</w:t>
            </w:r>
          </w:p>
        </w:tc>
        <w:tc>
          <w:tcPr>
            <w:tcW w:w="5940"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21"/>
                <w:szCs w:val="21"/>
                <w:lang w:val="en-US" w:eastAsia="zh-CN" w:bidi="ar-SA"/>
              </w:rPr>
            </w:pPr>
            <w:r>
              <w:rPr>
                <w:rFonts w:hint="eastAsia" w:ascii="宋体" w:hAnsi="Times New Roman" w:eastAsia="宋体" w:cs="Times New Roman"/>
                <w:b w:val="0"/>
                <w:bCs/>
                <w:sz w:val="21"/>
                <w:szCs w:val="21"/>
                <w:lang w:val="en-US" w:eastAsia="zh-CN" w:bidi="ar-SA"/>
              </w:rPr>
              <w:t>铅、镉、汞、砷、六价铬</w:t>
            </w:r>
          </w:p>
        </w:tc>
      </w:tr>
    </w:tbl>
    <w:p>
      <w:pPr>
        <w:pStyle w:val="71"/>
        <w:bidi w:val="0"/>
        <w:rPr>
          <w:rFonts w:hint="eastAsia"/>
          <w:b w:val="0"/>
          <w:bCs/>
          <w:lang w:val="en-US" w:eastAsia="zh-CN"/>
        </w:rPr>
      </w:pPr>
      <w:r>
        <w:rPr>
          <w:rFonts w:hint="eastAsia"/>
          <w:b w:val="0"/>
          <w:bCs/>
          <w:lang w:val="en-US" w:eastAsia="zh-CN"/>
        </w:rPr>
        <w:t>评价方法</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甘薯产地环境质量采用单项污染指数和综合污染指数相结合的方法进行评价，根据计算结果得出评价结论。</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单项污染指数按式（1）计算。</w:t>
      </w:r>
    </w:p>
    <w:p>
      <w:pPr>
        <w:tabs>
          <w:tab w:val="center" w:pos="4201"/>
          <w:tab w:val="right" w:leader="dot" w:pos="9298"/>
        </w:tabs>
        <w:autoSpaceDE w:val="0"/>
        <w:autoSpaceDN w:val="0"/>
        <w:ind w:firstLine="420" w:firstLineChars="200"/>
        <w:jc w:val="center"/>
        <w:rPr>
          <w:rFonts w:hint="eastAsia" w:ascii="宋体" w:hAnsi="Times New Roman" w:eastAsia="宋体" w:cs="Times New Roman"/>
          <w:b w:val="0"/>
          <w:bCs/>
          <w:sz w:val="21"/>
          <w:lang w:val="en-US" w:eastAsia="zh-CN" w:bidi="ar-SA"/>
        </w:rPr>
      </w:pPr>
      <w:r>
        <w:rPr>
          <w:rFonts w:ascii="宋体" w:hAnsi="Times New Roman" w:eastAsia="宋体" w:cs="Times New Roman"/>
          <w:b w:val="0"/>
          <w:bCs/>
          <w:position w:val="-30"/>
          <w:sz w:val="21"/>
          <w:lang w:val="en-US" w:eastAsia="zh-CN" w:bidi="ar-SA"/>
        </w:rPr>
        <w:object>
          <v:shape id="_x0000_i1025" o:spt="75" type="#_x0000_t75" style="height:36pt;width:59pt;" o:ole="t" filled="f" stroked="f" coordsize="21600,21600">
            <v:path/>
            <v:fill on="f" focussize="0,0"/>
            <v:stroke on="f"/>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ascii="宋体" w:hAnsi="Times New Roman" w:eastAsia="宋体" w:cs="Times New Roman"/>
          <w:b w:val="0"/>
          <w:bCs/>
          <w:sz w:val="21"/>
          <w:lang w:val="en-US" w:eastAsia="zh-CN" w:bidi="ar-SA"/>
        </w:rPr>
        <w:t>（1）</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式中：</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C</w:t>
      </w:r>
      <w:r>
        <w:rPr>
          <w:rFonts w:hint="eastAsia" w:ascii="宋体" w:hAnsi="Times New Roman" w:eastAsia="宋体" w:cs="Times New Roman"/>
          <w:b w:val="0"/>
          <w:bCs/>
          <w:sz w:val="21"/>
          <w:vertAlign w:val="subscript"/>
          <w:lang w:val="en-US" w:eastAsia="zh-CN" w:bidi="ar-SA"/>
        </w:rPr>
        <w:t>i</w:t>
      </w:r>
      <w:r>
        <w:rPr>
          <w:rFonts w:hint="eastAsia" w:ascii="宋体" w:hAnsi="Times New Roman" w:eastAsia="宋体" w:cs="Times New Roman"/>
          <w:b w:val="0"/>
          <w:bCs/>
          <w:sz w:val="21"/>
          <w:lang w:val="en-US" w:eastAsia="zh-CN" w:bidi="ar-SA"/>
        </w:rPr>
        <w:t>——污染物i的实测值；</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S</w:t>
      </w:r>
      <w:r>
        <w:rPr>
          <w:rFonts w:hint="eastAsia" w:ascii="宋体" w:hAnsi="Times New Roman" w:eastAsia="宋体" w:cs="Times New Roman"/>
          <w:b w:val="0"/>
          <w:bCs/>
          <w:sz w:val="21"/>
          <w:vertAlign w:val="subscript"/>
          <w:lang w:val="en-US" w:eastAsia="zh-CN" w:bidi="ar-SA"/>
        </w:rPr>
        <w:t>i</w:t>
      </w:r>
      <w:r>
        <w:rPr>
          <w:rFonts w:hint="eastAsia" w:ascii="宋体" w:hAnsi="Times New Roman" w:eastAsia="宋体" w:cs="Times New Roman"/>
          <w:b w:val="0"/>
          <w:bCs/>
          <w:sz w:val="21"/>
          <w:lang w:val="en-US" w:eastAsia="zh-CN" w:bidi="ar-SA"/>
        </w:rPr>
        <w:t>——污染物i的评价标准；</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P</w:t>
      </w:r>
      <w:r>
        <w:rPr>
          <w:rFonts w:hint="eastAsia" w:ascii="宋体" w:hAnsi="Times New Roman" w:eastAsia="宋体" w:cs="Times New Roman"/>
          <w:b w:val="0"/>
          <w:bCs/>
          <w:sz w:val="21"/>
          <w:vertAlign w:val="subscript"/>
          <w:lang w:val="en-US" w:eastAsia="zh-CN" w:bidi="ar-SA"/>
        </w:rPr>
        <w:t>i</w:t>
      </w:r>
      <w:r>
        <w:rPr>
          <w:rFonts w:hint="eastAsia" w:ascii="宋体" w:hAnsi="Times New Roman" w:eastAsia="宋体" w:cs="Times New Roman"/>
          <w:b w:val="0"/>
          <w:bCs/>
          <w:sz w:val="21"/>
          <w:lang w:val="en-US" w:eastAsia="zh-CN" w:bidi="ar-SA"/>
        </w:rPr>
        <w:t>——污染物i的单项污染指数。</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综合污染指数按式（2）计算。</w:t>
      </w:r>
    </w:p>
    <w:p>
      <w:pPr>
        <w:tabs>
          <w:tab w:val="center" w:pos="4201"/>
          <w:tab w:val="right" w:leader="dot" w:pos="9298"/>
        </w:tabs>
        <w:autoSpaceDE w:val="0"/>
        <w:autoSpaceDN w:val="0"/>
        <w:ind w:firstLine="420" w:firstLineChars="200"/>
        <w:jc w:val="center"/>
        <w:rPr>
          <w:rFonts w:ascii="宋体" w:hAnsi="Times New Roman" w:eastAsia="宋体" w:cs="Times New Roman"/>
          <w:b w:val="0"/>
          <w:bCs/>
          <w:sz w:val="21"/>
          <w:lang w:val="en-US" w:eastAsia="zh-CN" w:bidi="ar-SA"/>
        </w:rPr>
      </w:pPr>
      <w:r>
        <w:rPr>
          <w:rFonts w:ascii="宋体" w:hAnsi="Times New Roman" w:eastAsia="宋体" w:cs="Times New Roman"/>
          <w:b w:val="0"/>
          <w:bCs/>
          <w:position w:val="-26"/>
          <w:sz w:val="21"/>
          <w:lang w:val="en-US" w:eastAsia="zh-CN" w:bidi="ar-SA"/>
        </w:rPr>
        <w:object>
          <v:shape id="_x0000_i1026" o:spt="75" type="#_x0000_t75" style="height:36pt;width:87pt;" o:ole="t" filled="f" stroked="f" coordsize="21600,21600">
            <v:path/>
            <v:fill on="f" focussize="0,0"/>
            <v:stroke on="f"/>
            <v:imagedata r:id="rId10" o:title=""/>
            <o:lock v:ext="edit" aspectratio="t"/>
            <w10:wrap type="none"/>
            <w10:anchorlock/>
          </v:shape>
          <o:OLEObject Type="Embed" ProgID="Equation.DSMT4" ShapeID="_x0000_i1026" DrawAspect="Content" ObjectID="_1468075726" r:id="rId9">
            <o:LockedField>false</o:LockedField>
          </o:OLEObject>
        </w:object>
      </w:r>
      <w:r>
        <w:rPr>
          <w:rFonts w:hint="eastAsia" w:ascii="宋体" w:hAnsi="Times New Roman" w:eastAsia="宋体" w:cs="Times New Roman"/>
          <w:b w:val="0"/>
          <w:bCs/>
          <w:sz w:val="21"/>
          <w:lang w:val="en-US" w:eastAsia="zh-CN" w:bidi="ar-SA"/>
        </w:rPr>
        <w:t>（2）</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式中：</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highlight w:val="none"/>
          <w:lang w:val="en-US" w:eastAsia="zh-CN" w:bidi="ar-SA"/>
        </w:rPr>
      </w:pPr>
      <w:r>
        <w:rPr>
          <w:rFonts w:hint="eastAsia" w:ascii="宋体" w:hAnsi="Times New Roman" w:eastAsia="宋体" w:cs="Times New Roman"/>
          <w:b w:val="0"/>
          <w:bCs/>
          <w:sz w:val="21"/>
          <w:highlight w:val="none"/>
          <w:lang w:val="en-US" w:eastAsia="zh-CN" w:bidi="ar-SA"/>
        </w:rPr>
        <w:t>P</w:t>
      </w:r>
      <w:r>
        <w:rPr>
          <w:rFonts w:hint="eastAsia" w:ascii="宋体" w:hAnsi="Times New Roman" w:eastAsia="宋体" w:cs="Times New Roman"/>
          <w:b w:val="0"/>
          <w:bCs/>
          <w:sz w:val="21"/>
          <w:highlight w:val="none"/>
          <w:vertAlign w:val="subscript"/>
          <w:lang w:val="en-US" w:eastAsia="zh-CN" w:bidi="ar-SA"/>
        </w:rPr>
        <w:t>ave</w:t>
      </w:r>
      <w:r>
        <w:rPr>
          <w:rFonts w:hint="eastAsia" w:ascii="宋体" w:hAnsi="Times New Roman" w:eastAsia="宋体" w:cs="Times New Roman"/>
          <w:b w:val="0"/>
          <w:bCs/>
          <w:sz w:val="21"/>
          <w:highlight w:val="none"/>
          <w:lang w:val="en-US" w:eastAsia="zh-CN" w:bidi="ar-SA"/>
        </w:rPr>
        <w:t>——平均单项污染指数；</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highlight w:val="none"/>
          <w:lang w:val="en-US" w:eastAsia="zh-CN" w:bidi="ar-SA"/>
        </w:rPr>
      </w:pPr>
      <w:r>
        <w:rPr>
          <w:rFonts w:hint="default" w:ascii="宋体" w:hAnsi="Times New Roman" w:eastAsia="宋体" w:cs="Times New Roman"/>
          <w:b w:val="0"/>
          <w:bCs/>
          <w:sz w:val="21"/>
          <w:highlight w:val="none"/>
          <w:lang w:val="en" w:eastAsia="zh-CN" w:bidi="ar-SA"/>
        </w:rPr>
        <w:t>P</w:t>
      </w:r>
      <w:r>
        <w:rPr>
          <w:rFonts w:hint="default" w:ascii="宋体" w:hAnsi="Times New Roman" w:eastAsia="宋体" w:cs="Times New Roman"/>
          <w:b w:val="0"/>
          <w:bCs/>
          <w:sz w:val="21"/>
          <w:highlight w:val="none"/>
          <w:vertAlign w:val="subscript"/>
          <w:lang w:val="en" w:eastAsia="zh-CN" w:bidi="ar-SA"/>
        </w:rPr>
        <w:t>max</w:t>
      </w:r>
      <w:r>
        <w:rPr>
          <w:rFonts w:hint="eastAsia" w:ascii="宋体" w:hAnsi="Times New Roman" w:eastAsia="宋体" w:cs="Times New Roman"/>
          <w:b w:val="0"/>
          <w:bCs/>
          <w:sz w:val="21"/>
          <w:highlight w:val="none"/>
          <w:lang w:val="en-US" w:eastAsia="zh-CN" w:bidi="ar-SA"/>
        </w:rPr>
        <w:t>——最大污染指数；</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highlight w:val="none"/>
          <w:lang w:val="en-US" w:eastAsia="zh-CN" w:bidi="ar-SA"/>
        </w:rPr>
      </w:pPr>
      <w:r>
        <w:rPr>
          <w:rFonts w:hint="eastAsia" w:ascii="宋体" w:hAnsi="Times New Roman" w:eastAsia="宋体" w:cs="Times New Roman"/>
          <w:b w:val="0"/>
          <w:bCs/>
          <w:sz w:val="21"/>
          <w:highlight w:val="none"/>
          <w:lang w:val="en-US" w:eastAsia="zh-CN" w:bidi="ar-SA"/>
        </w:rPr>
        <w:t>PI——综合污染指数。</w:t>
      </w:r>
    </w:p>
    <w:p>
      <w:pPr>
        <w:pStyle w:val="71"/>
        <w:bidi w:val="0"/>
        <w:rPr>
          <w:rFonts w:hint="eastAsia"/>
          <w:b w:val="0"/>
          <w:bCs/>
          <w:lang w:val="en-US" w:eastAsia="zh-CN"/>
        </w:rPr>
      </w:pPr>
      <w:r>
        <w:rPr>
          <w:rFonts w:hint="eastAsia"/>
          <w:b w:val="0"/>
          <w:bCs/>
          <w:lang w:val="en-US" w:eastAsia="zh-CN"/>
        </w:rPr>
        <w:t>评价步骤</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甘薯产地环境质量评价按以下步骤进行：</w:t>
      </w:r>
    </w:p>
    <w:p>
      <w:pPr>
        <w:pStyle w:val="58"/>
        <w:bidi w:val="0"/>
        <w:rPr>
          <w:rFonts w:hint="eastAsia"/>
          <w:b w:val="0"/>
          <w:bCs/>
          <w:lang w:val="en-US" w:eastAsia="zh-CN"/>
        </w:rPr>
      </w:pPr>
      <w:r>
        <w:rPr>
          <w:rFonts w:hint="eastAsia"/>
          <w:b w:val="0"/>
          <w:bCs/>
          <w:lang w:val="en-US" w:eastAsia="zh-CN"/>
        </w:rPr>
        <w:t>进行严格控制指标单项污染指数评价。严格控制指标有超标，判定为不合格，不再进行一般指标评价；严格控制指标未超标，继续进行一般控制指标评价；</w:t>
      </w:r>
    </w:p>
    <w:p>
      <w:pPr>
        <w:pStyle w:val="58"/>
        <w:bidi w:val="0"/>
        <w:rPr>
          <w:rFonts w:hint="eastAsia"/>
          <w:b w:val="0"/>
          <w:bCs/>
          <w:lang w:val="en-US" w:eastAsia="zh-CN"/>
        </w:rPr>
      </w:pPr>
      <w:r>
        <w:rPr>
          <w:rFonts w:hint="eastAsia"/>
          <w:b w:val="0"/>
          <w:bCs/>
          <w:lang w:val="en-US" w:eastAsia="zh-CN"/>
        </w:rPr>
        <w:t>进行一般指标单项污染指数评价。一般控制指标未超标，不再进行综合污染指数评价；一般控制指标有超标，继续进行综合污染指数评价；</w:t>
      </w:r>
    </w:p>
    <w:p>
      <w:pPr>
        <w:pStyle w:val="58"/>
        <w:bidi w:val="0"/>
        <w:rPr>
          <w:rFonts w:hint="eastAsia"/>
          <w:b w:val="0"/>
          <w:bCs/>
          <w:lang w:val="en-US" w:eastAsia="zh-CN"/>
        </w:rPr>
      </w:pPr>
      <w:r>
        <w:rPr>
          <w:rFonts w:hint="eastAsia"/>
          <w:b w:val="0"/>
          <w:bCs/>
          <w:lang w:val="en-US" w:eastAsia="zh-CN"/>
        </w:rPr>
        <w:t>进行综合污染指数评价。</w:t>
      </w:r>
    </w:p>
    <w:p>
      <w:pPr>
        <w:pStyle w:val="71"/>
        <w:bidi w:val="0"/>
        <w:rPr>
          <w:rFonts w:hint="eastAsia"/>
          <w:b w:val="0"/>
          <w:bCs/>
          <w:lang w:val="en-US" w:eastAsia="zh-CN"/>
        </w:rPr>
      </w:pPr>
      <w:r>
        <w:rPr>
          <w:rFonts w:hint="eastAsia"/>
          <w:b w:val="0"/>
          <w:bCs/>
          <w:lang w:val="en-US" w:eastAsia="zh-CN"/>
        </w:rPr>
        <w:t>产地环境质量总体判定标准</w:t>
      </w:r>
    </w:p>
    <w:p>
      <w:pPr>
        <w:tabs>
          <w:tab w:val="center" w:pos="4201"/>
          <w:tab w:val="right" w:leader="dot" w:pos="9298"/>
        </w:tabs>
        <w:autoSpaceDE w:val="0"/>
        <w:autoSpaceDN w:val="0"/>
        <w:ind w:firstLine="421" w:firstLineChars="200"/>
        <w:jc w:val="both"/>
        <w:rPr>
          <w:rFonts w:hint="eastAsia" w:ascii="宋体" w:hAnsi="Times New Roman" w:eastAsia="宋体" w:cs="Times New Roman"/>
          <w:b w:val="0"/>
          <w:bCs/>
          <w:sz w:val="21"/>
          <w:lang w:val="en-US" w:eastAsia="zh-CN" w:bidi="ar-SA"/>
        </w:rPr>
      </w:pPr>
      <w:r>
        <w:rPr>
          <w:rFonts w:hint="default" w:ascii="宋体" w:hAnsi="Times New Roman" w:eastAsia="宋体" w:cs="Times New Roman"/>
          <w:sz w:val="21"/>
          <w:lang w:val="en-US" w:eastAsia="zh-CN" w:bidi="ar-SA"/>
        </w:rPr>
        <w:drawing>
          <wp:anchor distT="0" distB="0" distL="114300" distR="114300" simplePos="0" relativeHeight="251659264" behindDoc="1" locked="0" layoutInCell="1" allowOverlap="1">
            <wp:simplePos x="0" y="0"/>
            <wp:positionH relativeFrom="column">
              <wp:posOffset>241300</wp:posOffset>
            </wp:positionH>
            <wp:positionV relativeFrom="paragraph">
              <wp:posOffset>191770</wp:posOffset>
            </wp:positionV>
            <wp:extent cx="5250180" cy="4808855"/>
            <wp:effectExtent l="0" t="0" r="0" b="0"/>
            <wp:wrapNone/>
            <wp:docPr id="2" name="图片 2" descr="甘薯产地环境评价流程图终"/>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甘薯产地环境评价流程图终"/>
                    <pic:cNvPicPr>
                      <a:picLocks noChangeAspect="true"/>
                    </pic:cNvPicPr>
                  </pic:nvPicPr>
                  <pic:blipFill>
                    <a:blip r:embed="rId11"/>
                    <a:stretch>
                      <a:fillRect/>
                    </a:stretch>
                  </pic:blipFill>
                  <pic:spPr>
                    <a:xfrm>
                      <a:off x="0" y="0"/>
                      <a:ext cx="5250180" cy="4808855"/>
                    </a:xfrm>
                    <a:prstGeom prst="rect">
                      <a:avLst/>
                    </a:prstGeom>
                  </pic:spPr>
                </pic:pic>
              </a:graphicData>
            </a:graphic>
          </wp:anchor>
        </w:drawing>
      </w:r>
      <w:r>
        <w:rPr>
          <w:rFonts w:hint="eastAsia" w:ascii="宋体" w:hAnsi="Times New Roman" w:eastAsia="宋体" w:cs="Times New Roman"/>
          <w:b w:val="0"/>
          <w:bCs/>
          <w:sz w:val="21"/>
          <w:lang w:val="en-US" w:eastAsia="zh-CN" w:bidi="ar-SA"/>
        </w:rPr>
        <w:t>甘薯产地环境评价</w:t>
      </w:r>
      <w:r>
        <w:rPr>
          <w:rFonts w:hint="eastAsia" w:cs="Times New Roman"/>
          <w:b w:val="0"/>
          <w:bCs/>
          <w:sz w:val="21"/>
          <w:lang w:val="en-US" w:eastAsia="zh-CN" w:bidi="ar-SA"/>
        </w:rPr>
        <w:t>流程</w:t>
      </w:r>
      <w:r>
        <w:rPr>
          <w:rFonts w:hint="eastAsia" w:ascii="宋体" w:hAnsi="Times New Roman" w:eastAsia="宋体" w:cs="Times New Roman"/>
          <w:b w:val="0"/>
          <w:bCs/>
          <w:sz w:val="21"/>
          <w:lang w:val="en-US" w:eastAsia="zh-CN" w:bidi="ar-SA"/>
        </w:rPr>
        <w:t>应按图2执行。</w:t>
      </w: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p>
    <w:p>
      <w:pPr>
        <w:numPr>
          <w:ilvl w:val="0"/>
          <w:numId w:val="18"/>
        </w:numPr>
        <w:spacing w:before="156" w:beforeLines="50" w:after="156" w:afterLines="50"/>
        <w:jc w:val="center"/>
        <w:rPr>
          <w:rFonts w:hint="eastAsia" w:ascii="黑体" w:hAnsi="Times New Roman" w:eastAsia="黑体" w:cs="Times New Roman"/>
          <w:b w:val="0"/>
          <w:bCs/>
          <w:sz w:val="21"/>
          <w:lang w:val="en-US" w:eastAsia="zh-CN" w:bidi="ar-SA"/>
        </w:rPr>
      </w:pPr>
      <w:r>
        <w:rPr>
          <w:rFonts w:hint="eastAsia" w:ascii="黑体" w:hAnsi="Times New Roman" w:eastAsia="黑体" w:cs="Times New Roman"/>
          <w:b w:val="0"/>
          <w:bCs/>
          <w:sz w:val="21"/>
          <w:lang w:val="en-US" w:eastAsia="zh-CN" w:bidi="ar-SA"/>
        </w:rPr>
        <w:t>甘薯产地环境评价流程示意图</w:t>
      </w:r>
    </w:p>
    <w:p>
      <w:pPr>
        <w:tabs>
          <w:tab w:val="center" w:pos="4201"/>
          <w:tab w:val="right" w:leader="dot" w:pos="9298"/>
        </w:tabs>
        <w:autoSpaceDE w:val="0"/>
        <w:autoSpaceDN w:val="0"/>
        <w:ind w:firstLine="420" w:firstLineChars="200"/>
        <w:jc w:val="both"/>
        <w:rPr>
          <w:rFonts w:hint="default"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判定标准如下：</w:t>
      </w:r>
    </w:p>
    <w:p>
      <w:pPr>
        <w:pStyle w:val="55"/>
        <w:bidi w:val="0"/>
        <w:rPr>
          <w:rFonts w:hint="eastAsia"/>
          <w:lang w:val="en-US" w:eastAsia="zh-CN"/>
        </w:rPr>
      </w:pPr>
      <w:r>
        <w:rPr>
          <w:rFonts w:hint="eastAsia"/>
          <w:b w:val="0"/>
          <w:bCs/>
          <w:lang w:val="en-US" w:eastAsia="zh-CN"/>
        </w:rPr>
        <w:t>采用单项污染指数法评价时：当P</w:t>
      </w:r>
      <w:r>
        <w:rPr>
          <w:rFonts w:hint="eastAsia"/>
          <w:b w:val="0"/>
          <w:bCs/>
          <w:vertAlign w:val="subscript"/>
          <w:lang w:val="en-US" w:eastAsia="zh-CN"/>
        </w:rPr>
        <w:t>i</w:t>
      </w:r>
      <w:r>
        <w:rPr>
          <w:rFonts w:hint="eastAsia"/>
          <w:b w:val="0"/>
          <w:bCs/>
          <w:lang w:val="en-US" w:eastAsia="zh-CN"/>
        </w:rPr>
        <w:t>≤1时，未超</w:t>
      </w:r>
      <w:r>
        <w:rPr>
          <w:rFonts w:hint="eastAsia"/>
          <w:lang w:val="en-US" w:eastAsia="zh-CN"/>
        </w:rPr>
        <w:t>标；当P</w:t>
      </w:r>
      <w:r>
        <w:rPr>
          <w:rFonts w:hint="eastAsia"/>
          <w:vertAlign w:val="subscript"/>
          <w:lang w:val="en-US" w:eastAsia="zh-CN"/>
        </w:rPr>
        <w:t>i</w:t>
      </w:r>
      <w:r>
        <w:rPr>
          <w:rFonts w:hint="eastAsia"/>
          <w:lang w:val="en-US" w:eastAsia="zh-CN"/>
        </w:rPr>
        <w:t>＞1时，超标；</w:t>
      </w:r>
    </w:p>
    <w:p>
      <w:pPr>
        <w:pStyle w:val="55"/>
        <w:bidi w:val="0"/>
        <w:rPr>
          <w:rFonts w:hint="eastAsia"/>
          <w:lang w:val="en-US" w:eastAsia="zh-CN"/>
        </w:rPr>
      </w:pPr>
      <w:r>
        <w:rPr>
          <w:rFonts w:hint="eastAsia"/>
          <w:lang w:val="en-US" w:eastAsia="zh-CN"/>
        </w:rPr>
        <w:t>采用综合污染指数法评价时：当PI≤1，判定为合格；PI＞1时，判定为不合格；</w:t>
      </w:r>
    </w:p>
    <w:p>
      <w:pPr>
        <w:pStyle w:val="55"/>
        <w:bidi w:val="0"/>
        <w:rPr>
          <w:rFonts w:hint="default" w:ascii="宋体" w:hAnsi="Times New Roman" w:eastAsia="宋体" w:cs="Times New Roman"/>
          <w:sz w:val="21"/>
          <w:lang w:val="en-US" w:eastAsia="zh-CN" w:bidi="ar-SA"/>
        </w:rPr>
      </w:pPr>
      <w:r>
        <w:rPr>
          <w:rFonts w:hint="eastAsia"/>
          <w:lang w:val="en-US" w:eastAsia="zh-CN"/>
        </w:rPr>
        <w:t>产地的灌溉水、土壤中，只要有一类或一类以上综合污染指数PI＞1，则判该产地环境条件不适宜甘薯的生产。</w:t>
      </w:r>
    </w:p>
    <w:p>
      <w:pPr>
        <w:pStyle w:val="70"/>
        <w:bidi w:val="0"/>
        <w:rPr>
          <w:rFonts w:hint="eastAsia"/>
          <w:lang w:val="en-US" w:eastAsia="zh-CN"/>
        </w:rPr>
      </w:pPr>
      <w:bookmarkStart w:id="43" w:name="_Toc115186385"/>
      <w:bookmarkStart w:id="44" w:name="_Toc1689074611"/>
      <w:bookmarkStart w:id="45" w:name="_Toc31936"/>
      <w:r>
        <w:rPr>
          <w:rFonts w:hint="eastAsia"/>
          <w:lang w:val="en-US" w:eastAsia="zh-CN"/>
        </w:rPr>
        <w:t>记录与档案</w:t>
      </w:r>
      <w:bookmarkEnd w:id="43"/>
      <w:bookmarkEnd w:id="44"/>
      <w:bookmarkEnd w:id="45"/>
    </w:p>
    <w:p>
      <w:pPr>
        <w:tabs>
          <w:tab w:val="center" w:pos="4201"/>
          <w:tab w:val="right" w:leader="dot" w:pos="9298"/>
        </w:tabs>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甘薯产地环境的现状调查、产地环境监测、质量要求、产地环境评价的全过程及最终的评价结论应有详细的记录，参照附录C，并形成档案，档案至少保存五年。</w:t>
      </w:r>
    </w:p>
    <w:p>
      <w:pPr>
        <w:pStyle w:val="23"/>
        <w:rPr>
          <w:rFonts w:hint="eastAsia"/>
          <w:lang w:val="en-US" w:eastAsia="zh-CN"/>
        </w:rPr>
      </w:pPr>
    </w:p>
    <w:p>
      <w:pPr>
        <w:pStyle w:val="23"/>
        <w:rPr>
          <w:rFonts w:hint="eastAsia"/>
          <w:lang w:val="en-US" w:eastAsia="zh-CN"/>
        </w:rPr>
      </w:pPr>
    </w:p>
    <w:p>
      <w:pPr>
        <w:rPr>
          <w:rFonts w:hint="eastAsia"/>
          <w:lang w:val="en-US" w:eastAsia="zh-CN"/>
        </w:rPr>
      </w:pPr>
      <w:r>
        <w:rPr>
          <w:rFonts w:hint="eastAsia"/>
          <w:lang w:val="en-US" w:eastAsia="zh-CN"/>
        </w:rPr>
        <w:br w:type="page"/>
      </w:r>
      <w:bookmarkStart w:id="46" w:name="BKFL"/>
    </w:p>
    <w:p>
      <w:pPr>
        <w:pStyle w:val="97"/>
        <w:bidi w:val="0"/>
        <w:rPr>
          <w:rFonts w:hint="eastAsia"/>
          <w:lang w:val="en-US" w:eastAsia="zh-CN"/>
        </w:rPr>
      </w:pPr>
    </w:p>
    <w:p>
      <w:pPr>
        <w:pStyle w:val="99"/>
        <w:bidi w:val="0"/>
        <w:rPr>
          <w:rFonts w:hint="eastAsia"/>
          <w:lang w:val="en-US" w:eastAsia="zh-CN"/>
        </w:rPr>
      </w:pPr>
    </w:p>
    <w:p>
      <w:pPr>
        <w:pStyle w:val="86"/>
        <w:bidi w:val="0"/>
        <w:rPr>
          <w:rFonts w:hint="eastAsia"/>
          <w:b w:val="0"/>
          <w:bCs/>
          <w:lang w:val="en-US" w:eastAsia="zh-CN"/>
        </w:rPr>
      </w:pPr>
      <w:bookmarkStart w:id="47" w:name="_Toc27015"/>
      <w:r>
        <w:rPr>
          <w:rFonts w:hint="eastAsia"/>
          <w:b w:val="0"/>
          <w:bCs/>
          <w:lang w:val="en-US" w:eastAsia="zh-CN"/>
        </w:rPr>
        <w:br w:type="textWrapping"/>
      </w:r>
      <w:r>
        <w:rPr>
          <w:rFonts w:hint="eastAsia"/>
          <w:b w:val="0"/>
          <w:bCs/>
          <w:lang w:val="en-US" w:eastAsia="zh-CN"/>
        </w:rPr>
        <w:t>（规范性）</w:t>
      </w:r>
      <w:r>
        <w:rPr>
          <w:rFonts w:hint="eastAsia"/>
          <w:b w:val="0"/>
          <w:bCs/>
          <w:lang w:val="en-US" w:eastAsia="zh-CN"/>
        </w:rPr>
        <w:br w:type="textWrapping"/>
      </w:r>
      <w:r>
        <w:rPr>
          <w:rFonts w:hint="eastAsia"/>
          <w:b w:val="0"/>
          <w:bCs/>
          <w:lang w:val="en-US" w:eastAsia="zh-CN"/>
        </w:rPr>
        <w:t>灌溉水质量指标及检测方法</w:t>
      </w:r>
      <w:bookmarkEnd w:id="47"/>
    </w:p>
    <w:p>
      <w:pPr>
        <w:pStyle w:val="23"/>
        <w:rPr>
          <w:rFonts w:hint="eastAsia"/>
          <w:b w:val="0"/>
          <w:bCs/>
          <w:lang w:val="en-US" w:eastAsia="zh-CN"/>
        </w:rPr>
      </w:pPr>
      <w:r>
        <w:rPr>
          <w:rFonts w:hint="eastAsia"/>
          <w:b w:val="0"/>
          <w:bCs/>
          <w:lang w:val="en-US" w:eastAsia="zh-CN"/>
        </w:rPr>
        <w:t>灌溉水质量指标及检测方法见表A.1。</w:t>
      </w:r>
    </w:p>
    <w:p>
      <w:pPr>
        <w:pStyle w:val="100"/>
        <w:bidi w:val="0"/>
        <w:rPr>
          <w:rFonts w:hint="eastAsia"/>
          <w:b w:val="0"/>
          <w:bCs/>
          <w:lang w:val="en-US" w:eastAsia="zh-CN"/>
        </w:rPr>
      </w:pPr>
      <w:r>
        <w:rPr>
          <w:rFonts w:hint="eastAsia" w:ascii="宋体" w:hAnsi="宋体"/>
          <w:b w:val="0"/>
          <w:bCs/>
        </w:rPr>
        <w:t>灌溉水质量指标</w:t>
      </w:r>
      <w:r>
        <w:rPr>
          <w:rFonts w:hint="eastAsia" w:ascii="宋体" w:hAnsi="宋体"/>
          <w:b w:val="0"/>
          <w:bCs/>
          <w:lang w:val="en-US" w:eastAsia="zh-CN"/>
        </w:rPr>
        <w:t>及检测方法</w:t>
      </w:r>
    </w:p>
    <w:tbl>
      <w:tblPr>
        <w:tblStyle w:val="19"/>
        <w:tblW w:w="0" w:type="auto"/>
        <w:tblInd w:w="26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24"/>
        <w:gridCol w:w="2958"/>
        <w:gridCol w:w="32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tcBorders>
              <w:top w:val="single" w:color="auto" w:sz="8"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项目</w:t>
            </w:r>
          </w:p>
        </w:tc>
        <w:tc>
          <w:tcPr>
            <w:tcW w:w="2958" w:type="dxa"/>
            <w:tcBorders>
              <w:top w:val="single" w:color="auto" w:sz="8"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浓度限值（指标）</w:t>
            </w:r>
          </w:p>
        </w:tc>
        <w:tc>
          <w:tcPr>
            <w:tcW w:w="3246" w:type="dxa"/>
            <w:tcBorders>
              <w:top w:val="single" w:color="auto" w:sz="8"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检测方法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tcBorders>
              <w:top w:val="single" w:color="auto" w:sz="8"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pH值</w:t>
            </w:r>
          </w:p>
        </w:tc>
        <w:tc>
          <w:tcPr>
            <w:tcW w:w="2958" w:type="dxa"/>
            <w:tcBorders>
              <w:top w:val="single" w:color="auto" w:sz="8"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6.5～8.5</w:t>
            </w:r>
          </w:p>
        </w:tc>
        <w:tc>
          <w:tcPr>
            <w:tcW w:w="3246" w:type="dxa"/>
            <w:tcBorders>
              <w:top w:val="single" w:color="auto" w:sz="8"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GB/T 6920,HJ 1147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水温/℃</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≤35</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GB/T 13195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悬浮物/（mg/L）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≤100</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GB/T 11901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五日生化需氧量（BOD</w:t>
            </w:r>
            <w:r>
              <w:rPr>
                <w:rFonts w:hint="eastAsia" w:ascii="宋体" w:hAnsi="Times New Roman" w:eastAsia="宋体" w:cs="Times New Roman"/>
                <w:b w:val="0"/>
                <w:bCs/>
                <w:sz w:val="18"/>
                <w:szCs w:val="18"/>
                <w:vertAlign w:val="subscript"/>
                <w:lang w:val="en-US" w:eastAsia="zh-CN" w:bidi="ar-SA"/>
              </w:rPr>
              <w:t>5</w:t>
            </w:r>
            <w:r>
              <w:rPr>
                <w:rFonts w:hint="eastAsia" w:ascii="宋体" w:hAnsi="Times New Roman" w:eastAsia="宋体" w:cs="Times New Roman"/>
                <w:b w:val="0"/>
                <w:bCs/>
                <w:sz w:val="18"/>
                <w:szCs w:val="18"/>
                <w:lang w:val="en-US" w:eastAsia="zh-CN" w:bidi="ar-SA"/>
              </w:rPr>
              <w:t>）/（mg/L）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≤100</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HJ 505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化学需氧量（COD</w:t>
            </w:r>
            <w:r>
              <w:rPr>
                <w:rFonts w:hint="eastAsia" w:ascii="宋体" w:hAnsi="Times New Roman" w:eastAsia="宋体" w:cs="Times New Roman"/>
                <w:b w:val="0"/>
                <w:bCs/>
                <w:sz w:val="18"/>
                <w:szCs w:val="18"/>
                <w:vertAlign w:val="subscript"/>
                <w:lang w:val="en-US" w:eastAsia="zh-CN" w:bidi="ar-SA"/>
              </w:rPr>
              <w:t>Cr</w:t>
            </w:r>
            <w:r>
              <w:rPr>
                <w:rFonts w:hint="eastAsia" w:ascii="宋体" w:hAnsi="Times New Roman" w:eastAsia="宋体" w:cs="Times New Roman"/>
                <w:b w:val="0"/>
                <w:bCs/>
                <w:sz w:val="18"/>
                <w:szCs w:val="18"/>
                <w:lang w:val="en-US" w:eastAsia="zh-CN" w:bidi="ar-SA"/>
              </w:rPr>
              <w:t>）/mg/L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≤200</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HJ 828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阴离子表面活性剂/mg/L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≤8</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GB/T 7494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氯化物（以Cl</w:t>
            </w:r>
            <w:r>
              <w:rPr>
                <w:rFonts w:hint="eastAsia" w:ascii="宋体" w:hAnsi="Times New Roman" w:eastAsia="宋体" w:cs="Times New Roman"/>
                <w:b w:val="0"/>
                <w:bCs/>
                <w:sz w:val="18"/>
                <w:szCs w:val="18"/>
                <w:vertAlign w:val="superscript"/>
                <w:lang w:val="en-US" w:eastAsia="zh-CN" w:bidi="ar-SA"/>
              </w:rPr>
              <w:t>-</w:t>
            </w:r>
            <w:r>
              <w:rPr>
                <w:rFonts w:hint="eastAsia" w:ascii="宋体" w:hAnsi="Times New Roman" w:eastAsia="宋体" w:cs="Times New Roman"/>
                <w:b w:val="0"/>
                <w:bCs/>
                <w:sz w:val="18"/>
                <w:szCs w:val="18"/>
                <w:lang w:val="en-US" w:eastAsia="zh-CN" w:bidi="ar-SA"/>
              </w:rPr>
              <w:t>计）/mg/L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≤350</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GB/T 11896，HJ 84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硫化物（以S</w:t>
            </w:r>
            <w:r>
              <w:rPr>
                <w:rFonts w:hint="eastAsia" w:ascii="宋体" w:hAnsi="Times New Roman" w:eastAsia="宋体" w:cs="Times New Roman"/>
                <w:b w:val="0"/>
                <w:bCs/>
                <w:sz w:val="18"/>
                <w:szCs w:val="18"/>
                <w:vertAlign w:val="superscript"/>
                <w:lang w:val="en-US" w:eastAsia="zh-CN" w:bidi="ar-SA"/>
              </w:rPr>
              <w:t>2-</w:t>
            </w:r>
            <w:r>
              <w:rPr>
                <w:rFonts w:hint="eastAsia" w:ascii="宋体" w:hAnsi="Times New Roman" w:eastAsia="宋体" w:cs="Times New Roman"/>
                <w:b w:val="0"/>
                <w:bCs/>
                <w:sz w:val="18"/>
                <w:szCs w:val="18"/>
                <w:lang w:val="en-US" w:eastAsia="zh-CN" w:bidi="ar-SA"/>
              </w:rPr>
              <w:t>计）/mg/L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≤1</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HJ 1226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全盐量/mg/L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≤1000</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color w:val="000000"/>
                <w:sz w:val="18"/>
                <w:szCs w:val="18"/>
                <w:lang w:val="en-US" w:eastAsia="zh-CN" w:bidi="ar-SA"/>
              </w:rPr>
              <w:t>HJ/T 51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总铅/mg/L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≤0.1</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GB/T 7475，HJ 700,HJ 776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总镉/mg/L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≤0.005</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HJ 700,HJ 776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铬（六价）/mg/L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≤0.05</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GB/T 7467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总汞/mg/L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≤0.001</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HJ 597，HJ 694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总砷/mg/L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≤0.05</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HJ 694，HJ 700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kern w:val="2"/>
                <w:sz w:val="18"/>
                <w:szCs w:val="18"/>
                <w:lang w:val="en-US" w:eastAsia="zh-CN" w:bidi="ar-SA"/>
              </w:rPr>
              <w:t>粪大肠菌群数/（MPN/L）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w:t>
            </w:r>
            <w:r>
              <w:rPr>
                <w:rFonts w:hint="eastAsia" w:ascii="宋体" w:hAnsi="Times New Roman" w:eastAsia="宋体" w:cs="Times New Roman"/>
                <w:b w:val="0"/>
                <w:bCs/>
                <w:kern w:val="2"/>
                <w:sz w:val="18"/>
                <w:szCs w:val="18"/>
                <w:lang w:val="en-US" w:eastAsia="zh-CN" w:bidi="ar-SA"/>
              </w:rPr>
              <w:t>40000</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HJ 347.2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kern w:val="2"/>
                <w:sz w:val="18"/>
                <w:szCs w:val="18"/>
                <w:lang w:val="en-US" w:eastAsia="zh-CN" w:bidi="ar-SA"/>
              </w:rPr>
              <w:t>蛔虫卵数/（个/10L）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≤20</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HJ 775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氟化物/mg/L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≤2</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GB/T 7484，HJ 84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kern w:val="2"/>
                <w:sz w:val="18"/>
                <w:szCs w:val="18"/>
                <w:lang w:val="en-US" w:eastAsia="zh-CN" w:bidi="ar-SA"/>
              </w:rPr>
              <w:t>总铜</w:t>
            </w:r>
            <w:r>
              <w:rPr>
                <w:rFonts w:hint="eastAsia" w:ascii="宋体" w:hAnsi="Times New Roman" w:eastAsia="宋体" w:cs="Times New Roman"/>
                <w:b w:val="0"/>
                <w:bCs/>
                <w:sz w:val="18"/>
                <w:szCs w:val="18"/>
                <w:lang w:val="en-US" w:eastAsia="zh-CN" w:bidi="ar-SA"/>
              </w:rPr>
              <w:t>/mg/L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≤0.5</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GB/T 7475，HJ 700,HJ 776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2924"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总锌/mg/L</w:t>
            </w:r>
          </w:p>
        </w:tc>
        <w:tc>
          <w:tcPr>
            <w:tcW w:w="2958"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≤2</w:t>
            </w:r>
          </w:p>
        </w:tc>
        <w:tc>
          <w:tcPr>
            <w:tcW w:w="3246"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GB/T 7475，HJ 700,HJ 776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总镍/mg/L</w:t>
            </w:r>
          </w:p>
        </w:tc>
        <w:tc>
          <w:tcPr>
            <w:tcW w:w="2958"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≤0.1</w:t>
            </w:r>
          </w:p>
        </w:tc>
        <w:tc>
          <w:tcPr>
            <w:tcW w:w="3246"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GB/T 11912，HJ 700,HJ 776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24" w:type="dxa"/>
            <w:tcBorders>
              <w:top w:val="single" w:color="auto" w:sz="4"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硒/mg/L</w:t>
            </w:r>
          </w:p>
        </w:tc>
        <w:tc>
          <w:tcPr>
            <w:tcW w:w="2958" w:type="dxa"/>
            <w:tcBorders>
              <w:top w:val="single" w:color="auto" w:sz="4"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≤0.02</w:t>
            </w:r>
          </w:p>
        </w:tc>
        <w:tc>
          <w:tcPr>
            <w:tcW w:w="3246" w:type="dxa"/>
            <w:tcBorders>
              <w:top w:val="single" w:color="auto" w:sz="4"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HJ 694，HJ 700</w:t>
            </w:r>
          </w:p>
        </w:tc>
      </w:tr>
    </w:tbl>
    <w:p>
      <w:pPr>
        <w:pStyle w:val="23"/>
        <w:rPr>
          <w:rFonts w:hint="eastAsia"/>
          <w:b w:val="0"/>
          <w:bCs/>
          <w:lang w:val="en-US" w:eastAsia="zh-CN"/>
        </w:rPr>
      </w:pPr>
    </w:p>
    <w:p>
      <w:pPr>
        <w:pStyle w:val="23"/>
        <w:rPr>
          <w:rFonts w:hint="eastAsia"/>
          <w:lang w:val="en-US" w:eastAsia="zh-CN"/>
        </w:rPr>
      </w:pPr>
    </w:p>
    <w:p>
      <w:pPr>
        <w:pStyle w:val="23"/>
        <w:rPr>
          <w:rFonts w:hint="eastAsia"/>
          <w:lang w:val="en-US" w:eastAsia="zh-CN"/>
        </w:rPr>
      </w:pPr>
    </w:p>
    <w:p>
      <w:pPr>
        <w:pStyle w:val="23"/>
        <w:rPr>
          <w:rFonts w:hint="eastAsia"/>
          <w:lang w:val="en-US" w:eastAsia="zh-CN"/>
        </w:rPr>
      </w:pPr>
    </w:p>
    <w:p>
      <w:pPr>
        <w:pStyle w:val="23"/>
        <w:rPr>
          <w:rFonts w:hint="eastAsia"/>
          <w:lang w:val="en-US" w:eastAsia="zh-CN"/>
        </w:rPr>
      </w:pPr>
    </w:p>
    <w:p>
      <w:pPr>
        <w:pStyle w:val="23"/>
        <w:rPr>
          <w:rFonts w:hint="eastAsia"/>
          <w:lang w:val="en-US" w:eastAsia="zh-CN"/>
        </w:rPr>
      </w:pPr>
    </w:p>
    <w:p>
      <w:pPr>
        <w:rPr>
          <w:rFonts w:hint="eastAsia"/>
          <w:lang w:val="en-US" w:eastAsia="zh-CN"/>
        </w:rPr>
      </w:pPr>
      <w:r>
        <w:rPr>
          <w:rFonts w:hint="eastAsia"/>
          <w:lang w:val="en-US" w:eastAsia="zh-CN"/>
        </w:rPr>
        <w:br w:type="page"/>
      </w:r>
    </w:p>
    <w:p>
      <w:pPr>
        <w:pStyle w:val="97"/>
        <w:bidi w:val="0"/>
        <w:rPr>
          <w:rFonts w:hint="eastAsia"/>
          <w:lang w:val="en-US" w:eastAsia="zh-CN"/>
        </w:rPr>
      </w:pPr>
    </w:p>
    <w:p>
      <w:pPr>
        <w:pStyle w:val="99"/>
        <w:bidi w:val="0"/>
        <w:rPr>
          <w:rFonts w:hint="eastAsia"/>
          <w:lang w:val="en-US" w:eastAsia="zh-CN"/>
        </w:rPr>
      </w:pPr>
    </w:p>
    <w:p>
      <w:pPr>
        <w:pStyle w:val="86"/>
        <w:bidi w:val="0"/>
        <w:rPr>
          <w:rFonts w:hint="eastAsia"/>
          <w:b w:val="0"/>
          <w:bCs/>
          <w:lang w:val="en-US" w:eastAsia="zh-CN"/>
        </w:rPr>
      </w:pPr>
      <w:bookmarkStart w:id="48" w:name="_Toc22589"/>
      <w:r>
        <w:rPr>
          <w:rFonts w:hint="eastAsia"/>
          <w:b w:val="0"/>
          <w:bCs/>
          <w:lang w:val="en-US" w:eastAsia="zh-CN"/>
        </w:rPr>
        <w:br w:type="textWrapping"/>
      </w:r>
      <w:r>
        <w:rPr>
          <w:rFonts w:hint="eastAsia"/>
          <w:b w:val="0"/>
          <w:bCs/>
          <w:lang w:val="en-US" w:eastAsia="zh-CN"/>
        </w:rPr>
        <w:t>（规范性）</w:t>
      </w:r>
      <w:r>
        <w:rPr>
          <w:rFonts w:hint="eastAsia"/>
          <w:b w:val="0"/>
          <w:bCs/>
          <w:lang w:val="en-US" w:eastAsia="zh-CN"/>
        </w:rPr>
        <w:br w:type="textWrapping"/>
      </w:r>
      <w:r>
        <w:rPr>
          <w:rFonts w:hint="eastAsia"/>
          <w:b w:val="0"/>
          <w:bCs/>
          <w:lang w:val="en-US" w:eastAsia="zh-CN"/>
        </w:rPr>
        <w:t>土壤质量指标及检测方法</w:t>
      </w:r>
      <w:bookmarkEnd w:id="48"/>
    </w:p>
    <w:p>
      <w:pPr>
        <w:autoSpaceDE w:val="0"/>
        <w:autoSpaceDN w:val="0"/>
        <w:ind w:firstLine="420" w:firstLineChars="200"/>
        <w:jc w:val="both"/>
        <w:rPr>
          <w:rFonts w:hint="default"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土壤质量指标及检测方法见表B.1。</w:t>
      </w:r>
    </w:p>
    <w:p>
      <w:pPr>
        <w:pStyle w:val="100"/>
        <w:bidi w:val="0"/>
        <w:rPr>
          <w:rFonts w:hint="eastAsia"/>
          <w:b w:val="0"/>
          <w:bCs/>
          <w:lang w:val="en-US" w:eastAsia="zh-CN"/>
        </w:rPr>
      </w:pPr>
      <w:r>
        <w:rPr>
          <w:rFonts w:hint="eastAsia"/>
          <w:b w:val="0"/>
          <w:bCs/>
        </w:rPr>
        <w:t>土壤质量指标</w:t>
      </w:r>
      <w:r>
        <w:rPr>
          <w:rFonts w:hint="eastAsia"/>
          <w:b w:val="0"/>
          <w:bCs/>
          <w:lang w:val="en-US" w:eastAsia="zh-CN"/>
        </w:rPr>
        <w:t>及检测方法</w:t>
      </w:r>
    </w:p>
    <w:tbl>
      <w:tblPr>
        <w:tblStyle w:val="19"/>
        <w:tblW w:w="0" w:type="auto"/>
        <w:tblInd w:w="8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55"/>
        <w:gridCol w:w="2339"/>
        <w:gridCol w:w="2341"/>
        <w:gridCol w:w="23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255" w:type="dxa"/>
            <w:vMerge w:val="restart"/>
            <w:tcBorders>
              <w:top w:val="single" w:color="auto" w:sz="8" w:space="0"/>
            </w:tcBorders>
            <w:noWrap w:val="0"/>
            <w:vAlign w:val="center"/>
          </w:tcPr>
          <w:p>
            <w:pPr>
              <w:adjustRightInd w:val="0"/>
              <w:spacing w:line="400" w:lineRule="exact"/>
              <w:jc w:val="center"/>
              <w:rPr>
                <w:rFonts w:hint="eastAsia" w:ascii="宋体" w:hAnsi="Calibri" w:cs="Times New Roman"/>
                <w:b w:val="0"/>
                <w:bCs/>
                <w:sz w:val="18"/>
                <w:szCs w:val="18"/>
              </w:rPr>
            </w:pPr>
            <w:r>
              <w:rPr>
                <w:rFonts w:hint="eastAsia" w:ascii="宋体" w:hAnsi="Calibri" w:cs="Times New Roman"/>
                <w:b w:val="0"/>
                <w:bCs/>
                <w:sz w:val="18"/>
                <w:szCs w:val="18"/>
              </w:rPr>
              <w:t>项目</w:t>
            </w:r>
          </w:p>
        </w:tc>
        <w:tc>
          <w:tcPr>
            <w:tcW w:w="4680" w:type="dxa"/>
            <w:gridSpan w:val="2"/>
            <w:tcBorders>
              <w:top w:val="single" w:color="auto" w:sz="8" w:space="0"/>
              <w:bottom w:val="single" w:color="auto" w:sz="8" w:space="0"/>
            </w:tcBorders>
            <w:noWrap w:val="0"/>
            <w:vAlign w:val="center"/>
          </w:tcPr>
          <w:p>
            <w:pPr>
              <w:adjustRightInd w:val="0"/>
              <w:spacing w:line="400" w:lineRule="exact"/>
              <w:jc w:val="center"/>
              <w:rPr>
                <w:rFonts w:hint="eastAsia" w:ascii="宋体" w:hAnsi="Calibri" w:cs="Times New Roman"/>
                <w:b w:val="0"/>
                <w:bCs/>
                <w:sz w:val="18"/>
                <w:szCs w:val="18"/>
              </w:rPr>
            </w:pPr>
            <w:r>
              <w:rPr>
                <w:rFonts w:hint="eastAsia" w:ascii="宋体" w:hAnsi="Calibri" w:cs="Times New Roman"/>
                <w:b w:val="0"/>
                <w:bCs/>
                <w:sz w:val="18"/>
                <w:szCs w:val="18"/>
              </w:rPr>
              <w:t>含量限值（指标）</w:t>
            </w:r>
          </w:p>
        </w:tc>
        <w:tc>
          <w:tcPr>
            <w:tcW w:w="2340" w:type="dxa"/>
            <w:vMerge w:val="restart"/>
            <w:tcBorders>
              <w:top w:val="single" w:color="auto" w:sz="8" w:space="0"/>
            </w:tcBorders>
            <w:noWrap w:val="0"/>
            <w:vAlign w:val="center"/>
          </w:tcPr>
          <w:p>
            <w:pPr>
              <w:adjustRightInd w:val="0"/>
              <w:spacing w:line="400" w:lineRule="exact"/>
              <w:jc w:val="center"/>
              <w:rPr>
                <w:rFonts w:hint="eastAsia" w:ascii="宋体" w:hAnsi="Calibri" w:cs="Times New Roman"/>
                <w:b w:val="0"/>
                <w:bCs/>
                <w:sz w:val="18"/>
                <w:szCs w:val="18"/>
              </w:rPr>
            </w:pPr>
            <w:r>
              <w:rPr>
                <w:rFonts w:hint="eastAsia" w:ascii="宋体" w:hAnsi="Calibri" w:cs="Times New Roman"/>
                <w:b w:val="0"/>
                <w:bCs/>
                <w:sz w:val="18"/>
                <w:szCs w:val="18"/>
              </w:rPr>
              <w:t>检测方法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255" w:type="dxa"/>
            <w:vMerge w:val="continue"/>
            <w:noWrap w:val="0"/>
            <w:vAlign w:val="center"/>
          </w:tcPr>
          <w:p>
            <w:pPr>
              <w:adjustRightInd w:val="0"/>
              <w:spacing w:line="400" w:lineRule="exact"/>
              <w:jc w:val="center"/>
              <w:rPr>
                <w:rFonts w:hint="eastAsia" w:ascii="宋体" w:hAnsi="Calibri" w:cs="Times New Roman"/>
                <w:b w:val="0"/>
                <w:bCs/>
                <w:sz w:val="18"/>
                <w:szCs w:val="18"/>
              </w:rPr>
            </w:pPr>
          </w:p>
        </w:tc>
        <w:tc>
          <w:tcPr>
            <w:tcW w:w="2339" w:type="dxa"/>
            <w:tcBorders>
              <w:top w:val="single" w:color="auto" w:sz="8" w:space="0"/>
            </w:tcBorders>
            <w:noWrap w:val="0"/>
            <w:vAlign w:val="center"/>
          </w:tcPr>
          <w:p>
            <w:pPr>
              <w:adjustRightInd w:val="0"/>
              <w:spacing w:line="400" w:lineRule="exact"/>
              <w:jc w:val="center"/>
              <w:rPr>
                <w:rFonts w:hint="eastAsia" w:ascii="宋体" w:hAnsi="Calibri" w:cs="Times New Roman"/>
                <w:b w:val="0"/>
                <w:bCs/>
                <w:sz w:val="18"/>
                <w:szCs w:val="18"/>
              </w:rPr>
            </w:pPr>
            <w:r>
              <w:rPr>
                <w:rFonts w:hint="eastAsia" w:ascii="宋体" w:hAnsi="Calibri" w:cs="Times New Roman"/>
                <w:b w:val="0"/>
                <w:bCs/>
                <w:sz w:val="18"/>
                <w:szCs w:val="18"/>
              </w:rPr>
              <w:t>pH值6.5-7.5</w:t>
            </w:r>
          </w:p>
        </w:tc>
        <w:tc>
          <w:tcPr>
            <w:tcW w:w="2341" w:type="dxa"/>
            <w:tcBorders>
              <w:top w:val="single" w:color="auto" w:sz="8" w:space="0"/>
            </w:tcBorders>
            <w:noWrap w:val="0"/>
            <w:vAlign w:val="center"/>
          </w:tcPr>
          <w:p>
            <w:pPr>
              <w:adjustRightInd w:val="0"/>
              <w:spacing w:line="400" w:lineRule="exact"/>
              <w:jc w:val="center"/>
              <w:rPr>
                <w:rFonts w:hint="eastAsia" w:ascii="宋体" w:hAnsi="Calibri" w:cs="Times New Roman"/>
                <w:b w:val="0"/>
                <w:bCs/>
                <w:sz w:val="18"/>
                <w:szCs w:val="18"/>
              </w:rPr>
            </w:pPr>
            <w:r>
              <w:rPr>
                <w:rFonts w:hint="eastAsia" w:ascii="宋体" w:hAnsi="Calibri" w:cs="Times New Roman"/>
                <w:b w:val="0"/>
                <w:bCs/>
                <w:sz w:val="18"/>
                <w:szCs w:val="18"/>
              </w:rPr>
              <w:t>pH值</w:t>
            </w:r>
            <w:r>
              <w:rPr>
                <w:rFonts w:hint="eastAsia" w:ascii="Calibri" w:hAnsi="Calibri" w:cs="Times New Roman"/>
                <w:b w:val="0"/>
                <w:bCs/>
                <w:szCs w:val="21"/>
              </w:rPr>
              <w:t>＞</w:t>
            </w:r>
            <w:r>
              <w:rPr>
                <w:rFonts w:hint="eastAsia" w:ascii="宋体" w:hAnsi="Calibri" w:cs="Times New Roman"/>
                <w:b w:val="0"/>
                <w:bCs/>
                <w:sz w:val="18"/>
                <w:szCs w:val="18"/>
              </w:rPr>
              <w:t>7.5</w:t>
            </w:r>
          </w:p>
        </w:tc>
        <w:tc>
          <w:tcPr>
            <w:tcW w:w="2340" w:type="dxa"/>
            <w:vMerge w:val="continue"/>
            <w:noWrap w:val="0"/>
            <w:vAlign w:val="center"/>
          </w:tcPr>
          <w:p>
            <w:pPr>
              <w:adjustRightInd w:val="0"/>
              <w:spacing w:line="400" w:lineRule="exact"/>
              <w:jc w:val="center"/>
              <w:rPr>
                <w:rFonts w:hint="eastAsia" w:ascii="宋体" w:hAnsi="Calibri" w:cs="Times New Roman"/>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255"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汞/mg/kg</w:t>
            </w:r>
          </w:p>
        </w:tc>
        <w:tc>
          <w:tcPr>
            <w:tcW w:w="2339"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≤0.4</w:t>
            </w:r>
          </w:p>
        </w:tc>
        <w:tc>
          <w:tcPr>
            <w:tcW w:w="2341"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≤0.4</w:t>
            </w:r>
          </w:p>
        </w:tc>
        <w:tc>
          <w:tcPr>
            <w:tcW w:w="2340"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GB/T 22105.1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255"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镉/mg/kg</w:t>
            </w:r>
          </w:p>
        </w:tc>
        <w:tc>
          <w:tcPr>
            <w:tcW w:w="2339"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≤0.3</w:t>
            </w:r>
          </w:p>
        </w:tc>
        <w:tc>
          <w:tcPr>
            <w:tcW w:w="2341" w:type="dxa"/>
            <w:noWrap w:val="0"/>
            <w:vAlign w:val="center"/>
          </w:tcPr>
          <w:p>
            <w:pPr>
              <w:tabs>
                <w:tab w:val="center" w:pos="4201"/>
                <w:tab w:val="right" w:leader="dot" w:pos="9298"/>
              </w:tabs>
              <w:autoSpaceDE w:val="0"/>
              <w:autoSpaceDN w:val="0"/>
              <w:ind w:firstLine="0" w:firstLineChars="0"/>
              <w:jc w:val="center"/>
              <w:rPr>
                <w:rFonts w:hint="eastAsia"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≤0.4</w:t>
            </w:r>
          </w:p>
        </w:tc>
        <w:tc>
          <w:tcPr>
            <w:tcW w:w="2340"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 xml:space="preserve">GB/T 17141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255"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砷/mg/kg</w:t>
            </w:r>
          </w:p>
        </w:tc>
        <w:tc>
          <w:tcPr>
            <w:tcW w:w="2339" w:type="dxa"/>
            <w:noWrap w:val="0"/>
            <w:vAlign w:val="center"/>
          </w:tcPr>
          <w:p>
            <w:pPr>
              <w:tabs>
                <w:tab w:val="center" w:pos="4201"/>
                <w:tab w:val="right" w:leader="dot" w:pos="9298"/>
              </w:tabs>
              <w:autoSpaceDE w:val="0"/>
              <w:autoSpaceDN w:val="0"/>
              <w:ind w:firstLine="0" w:firstLineChars="0"/>
              <w:jc w:val="center"/>
              <w:rPr>
                <w:rFonts w:hint="default"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≤20</w:t>
            </w:r>
          </w:p>
        </w:tc>
        <w:tc>
          <w:tcPr>
            <w:tcW w:w="2341" w:type="dxa"/>
            <w:noWrap w:val="0"/>
            <w:vAlign w:val="center"/>
          </w:tcPr>
          <w:p>
            <w:pPr>
              <w:tabs>
                <w:tab w:val="center" w:pos="4201"/>
                <w:tab w:val="right" w:leader="dot" w:pos="9298"/>
              </w:tabs>
              <w:autoSpaceDE w:val="0"/>
              <w:autoSpaceDN w:val="0"/>
              <w:ind w:firstLine="0" w:firstLineChars="0"/>
              <w:jc w:val="center"/>
              <w:rPr>
                <w:rFonts w:hint="eastAsia"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≤20</w:t>
            </w:r>
          </w:p>
        </w:tc>
        <w:tc>
          <w:tcPr>
            <w:tcW w:w="2340"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GB/T 22105.2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255"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铅/mg/kg</w:t>
            </w:r>
          </w:p>
        </w:tc>
        <w:tc>
          <w:tcPr>
            <w:tcW w:w="2339" w:type="dxa"/>
            <w:noWrap w:val="0"/>
            <w:vAlign w:val="center"/>
          </w:tcPr>
          <w:p>
            <w:pPr>
              <w:tabs>
                <w:tab w:val="center" w:pos="4201"/>
                <w:tab w:val="right" w:leader="dot" w:pos="9298"/>
              </w:tabs>
              <w:autoSpaceDE w:val="0"/>
              <w:autoSpaceDN w:val="0"/>
              <w:ind w:firstLine="0" w:firstLineChars="0"/>
              <w:jc w:val="center"/>
              <w:rPr>
                <w:rFonts w:hint="default"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≤50</w:t>
            </w:r>
          </w:p>
        </w:tc>
        <w:tc>
          <w:tcPr>
            <w:tcW w:w="2341"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≤50</w:t>
            </w:r>
          </w:p>
        </w:tc>
        <w:tc>
          <w:tcPr>
            <w:tcW w:w="2340" w:type="dxa"/>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GB/T 17141，HJ 491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255"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铬/mg/kg</w:t>
            </w:r>
          </w:p>
        </w:tc>
        <w:tc>
          <w:tcPr>
            <w:tcW w:w="2339"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≤120</w:t>
            </w:r>
          </w:p>
        </w:tc>
        <w:tc>
          <w:tcPr>
            <w:tcW w:w="2341"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≤120</w:t>
            </w:r>
          </w:p>
        </w:tc>
        <w:tc>
          <w:tcPr>
            <w:tcW w:w="2340"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HJ 491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255"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铜/mg/kg</w:t>
            </w:r>
          </w:p>
        </w:tc>
        <w:tc>
          <w:tcPr>
            <w:tcW w:w="2339"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hint="default"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≤100</w:t>
            </w:r>
          </w:p>
        </w:tc>
        <w:tc>
          <w:tcPr>
            <w:tcW w:w="2341"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hint="default"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≤100</w:t>
            </w:r>
          </w:p>
        </w:tc>
        <w:tc>
          <w:tcPr>
            <w:tcW w:w="2340"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HJ 491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255"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镍/mg/kg</w:t>
            </w:r>
          </w:p>
        </w:tc>
        <w:tc>
          <w:tcPr>
            <w:tcW w:w="2339"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≤100</w:t>
            </w:r>
          </w:p>
        </w:tc>
        <w:tc>
          <w:tcPr>
            <w:tcW w:w="2341"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≤190</w:t>
            </w:r>
          </w:p>
        </w:tc>
        <w:tc>
          <w:tcPr>
            <w:tcW w:w="2340" w:type="dxa"/>
            <w:tcBorders>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HJ 491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255" w:type="dxa"/>
            <w:tcBorders>
              <w:top w:val="single" w:color="auto" w:sz="4" w:space="0"/>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锌/mg/kg</w:t>
            </w:r>
          </w:p>
        </w:tc>
        <w:tc>
          <w:tcPr>
            <w:tcW w:w="2339" w:type="dxa"/>
            <w:tcBorders>
              <w:top w:val="single" w:color="auto" w:sz="4" w:space="0"/>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≤250</w:t>
            </w:r>
          </w:p>
        </w:tc>
        <w:tc>
          <w:tcPr>
            <w:tcW w:w="2341" w:type="dxa"/>
            <w:tcBorders>
              <w:top w:val="single" w:color="auto" w:sz="4" w:space="0"/>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≤300</w:t>
            </w:r>
          </w:p>
        </w:tc>
        <w:tc>
          <w:tcPr>
            <w:tcW w:w="2340" w:type="dxa"/>
            <w:tcBorders>
              <w:top w:val="single" w:color="auto" w:sz="4" w:space="0"/>
              <w:bottom w:val="single" w:color="auto" w:sz="4" w:space="0"/>
            </w:tcBorders>
            <w:noWrap w:val="0"/>
            <w:vAlign w:val="center"/>
          </w:tcPr>
          <w:p>
            <w:pPr>
              <w:tabs>
                <w:tab w:val="center" w:pos="4201"/>
                <w:tab w:val="right" w:leader="dot" w:pos="9298"/>
              </w:tabs>
              <w:autoSpaceDE w:val="0"/>
              <w:autoSpaceDN w:val="0"/>
              <w:ind w:firstLine="0" w:firstLineChars="0"/>
              <w:jc w:val="center"/>
              <w:rPr>
                <w:rFonts w:ascii="宋体" w:hAnsi="Times New Roman" w:eastAsia="宋体" w:cs="Times New Roman"/>
                <w:b w:val="0"/>
                <w:bCs/>
                <w:kern w:val="2"/>
                <w:sz w:val="18"/>
                <w:szCs w:val="18"/>
                <w:lang w:val="en-US" w:eastAsia="zh-CN" w:bidi="ar-SA"/>
              </w:rPr>
            </w:pPr>
            <w:r>
              <w:rPr>
                <w:rFonts w:hint="eastAsia" w:ascii="宋体" w:hAnsi="Times New Roman" w:eastAsia="宋体" w:cs="Times New Roman"/>
                <w:b w:val="0"/>
                <w:bCs/>
                <w:sz w:val="18"/>
                <w:szCs w:val="18"/>
                <w:lang w:val="en-US" w:eastAsia="zh-CN" w:bidi="ar-SA"/>
              </w:rPr>
              <w:t>HJ 491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255" w:type="dxa"/>
            <w:tcBorders>
              <w:top w:val="single" w:color="auto" w:sz="4" w:space="0"/>
              <w:bottom w:val="single" w:color="auto" w:sz="4" w:space="0"/>
            </w:tcBorders>
            <w:noWrap w:val="0"/>
            <w:vAlign w:val="center"/>
          </w:tcPr>
          <w:p>
            <w:pPr>
              <w:tabs>
                <w:tab w:val="center" w:pos="4201"/>
                <w:tab w:val="right" w:leader="dot" w:pos="9298"/>
              </w:tabs>
              <w:autoSpaceDE w:val="0"/>
              <w:autoSpaceDN w:val="0"/>
              <w:ind w:firstLine="0" w:firstLineChars="0"/>
              <w:jc w:val="center"/>
              <w:rPr>
                <w:rFonts w:hint="eastAsia" w:ascii="宋体" w:hAnsi="Times New Roman" w:eastAsia="宋体" w:cs="Times New Roman"/>
                <w:b w:val="0"/>
                <w:bCs/>
                <w:sz w:val="18"/>
                <w:szCs w:val="18"/>
                <w:highlight w:val="none"/>
                <w:lang w:val="en-US" w:eastAsia="zh-CN" w:bidi="ar-SA"/>
              </w:rPr>
            </w:pPr>
            <w:r>
              <w:rPr>
                <w:rFonts w:hint="eastAsia" w:ascii="宋体" w:hAnsi="Times New Roman" w:eastAsia="宋体" w:cs="Times New Roman"/>
                <w:b w:val="0"/>
                <w:bCs/>
                <w:sz w:val="18"/>
                <w:szCs w:val="18"/>
                <w:highlight w:val="none"/>
                <w:lang w:val="en-US" w:eastAsia="zh-CN" w:bidi="ar-SA"/>
              </w:rPr>
              <w:t>速效钾/mg/kg</w:t>
            </w:r>
          </w:p>
        </w:tc>
        <w:tc>
          <w:tcPr>
            <w:tcW w:w="4680" w:type="dxa"/>
            <w:gridSpan w:val="2"/>
            <w:tcBorders>
              <w:top w:val="single" w:color="auto" w:sz="4" w:space="0"/>
              <w:bottom w:val="single" w:color="auto" w:sz="4" w:space="0"/>
            </w:tcBorders>
            <w:noWrap w:val="0"/>
            <w:vAlign w:val="center"/>
          </w:tcPr>
          <w:p>
            <w:pPr>
              <w:tabs>
                <w:tab w:val="center" w:pos="4201"/>
                <w:tab w:val="right" w:leader="dot" w:pos="9298"/>
              </w:tabs>
              <w:autoSpaceDE w:val="0"/>
              <w:autoSpaceDN w:val="0"/>
              <w:ind w:firstLine="0" w:firstLineChars="0"/>
              <w:jc w:val="center"/>
              <w:rPr>
                <w:rFonts w:hint="default" w:ascii="宋体" w:hAnsi="Times New Roman" w:eastAsia="宋体" w:cs="Times New Roman"/>
                <w:b w:val="0"/>
                <w:bCs/>
                <w:sz w:val="18"/>
                <w:szCs w:val="18"/>
                <w:lang w:val="en-US" w:eastAsia="zh-CN" w:bidi="ar-SA"/>
              </w:rPr>
            </w:pPr>
            <w:r>
              <w:rPr>
                <w:rFonts w:hint="eastAsia" w:ascii="东文宋体" w:hAnsi="东文宋体" w:eastAsia="东文宋体" w:cs="东文宋体"/>
                <w:b w:val="0"/>
                <w:bCs/>
                <w:sz w:val="21"/>
                <w:lang w:val="en-US" w:eastAsia="zh-CN" w:bidi="ar-SA"/>
              </w:rPr>
              <w:t>≥</w:t>
            </w:r>
            <w:r>
              <w:rPr>
                <w:rFonts w:hint="eastAsia" w:ascii="宋体" w:hAnsi="Times New Roman" w:eastAsia="宋体" w:cs="Times New Roman"/>
                <w:b w:val="0"/>
                <w:bCs/>
                <w:sz w:val="18"/>
                <w:szCs w:val="18"/>
                <w:lang w:val="en-US" w:eastAsia="zh-CN" w:bidi="ar-SA"/>
              </w:rPr>
              <w:t>100</w:t>
            </w:r>
          </w:p>
        </w:tc>
        <w:tc>
          <w:tcPr>
            <w:tcW w:w="2340" w:type="dxa"/>
            <w:tcBorders>
              <w:top w:val="single" w:color="auto" w:sz="4" w:space="0"/>
              <w:bottom w:val="single" w:color="auto" w:sz="4" w:space="0"/>
            </w:tcBorders>
            <w:noWrap w:val="0"/>
            <w:vAlign w:val="center"/>
          </w:tcPr>
          <w:p>
            <w:pPr>
              <w:tabs>
                <w:tab w:val="center" w:pos="4201"/>
                <w:tab w:val="right" w:leader="dot" w:pos="9298"/>
              </w:tabs>
              <w:autoSpaceDE w:val="0"/>
              <w:autoSpaceDN w:val="0"/>
              <w:ind w:firstLine="0" w:firstLineChars="0"/>
              <w:jc w:val="center"/>
              <w:rPr>
                <w:rFonts w:hint="default"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NY/T 889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2255" w:type="dxa"/>
            <w:tcBorders>
              <w:top w:val="single" w:color="auto" w:sz="4"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hint="default" w:ascii="宋体" w:hAnsi="Times New Roman" w:eastAsia="宋体" w:cs="Times New Roman"/>
                <w:b w:val="0"/>
                <w:bCs/>
                <w:sz w:val="18"/>
                <w:szCs w:val="18"/>
                <w:highlight w:val="none"/>
                <w:lang w:val="en-US" w:eastAsia="zh-CN" w:bidi="ar-SA"/>
              </w:rPr>
            </w:pPr>
            <w:r>
              <w:rPr>
                <w:rFonts w:hint="eastAsia" w:ascii="宋体" w:hAnsi="Times New Roman" w:eastAsia="宋体" w:cs="Times New Roman"/>
                <w:b w:val="0"/>
                <w:bCs/>
                <w:sz w:val="18"/>
                <w:szCs w:val="18"/>
                <w:highlight w:val="none"/>
                <w:lang w:val="en-US" w:eastAsia="zh-CN" w:bidi="ar-SA"/>
              </w:rPr>
              <w:t>缓效钾/mg/kg</w:t>
            </w:r>
          </w:p>
        </w:tc>
        <w:tc>
          <w:tcPr>
            <w:tcW w:w="4680" w:type="dxa"/>
            <w:gridSpan w:val="2"/>
            <w:tcBorders>
              <w:top w:val="single" w:color="auto" w:sz="4"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hint="default" w:ascii="宋体" w:hAnsi="Times New Roman" w:eastAsia="宋体" w:cs="Times New Roman"/>
                <w:b w:val="0"/>
                <w:bCs/>
                <w:sz w:val="18"/>
                <w:szCs w:val="18"/>
                <w:lang w:val="en-US" w:eastAsia="zh-CN" w:bidi="ar-SA"/>
              </w:rPr>
            </w:pPr>
            <w:r>
              <w:rPr>
                <w:rFonts w:hint="eastAsia" w:ascii="东文宋体" w:hAnsi="东文宋体" w:eastAsia="东文宋体" w:cs="东文宋体"/>
                <w:b w:val="0"/>
                <w:bCs/>
                <w:sz w:val="21"/>
                <w:lang w:val="en-US" w:eastAsia="zh-CN" w:bidi="ar-SA"/>
              </w:rPr>
              <w:t>≥</w:t>
            </w:r>
            <w:r>
              <w:rPr>
                <w:rFonts w:hint="eastAsia" w:ascii="宋体" w:hAnsi="Times New Roman" w:eastAsia="宋体" w:cs="Times New Roman"/>
                <w:b w:val="0"/>
                <w:bCs/>
                <w:sz w:val="18"/>
                <w:szCs w:val="18"/>
                <w:lang w:val="en-US" w:eastAsia="zh-CN" w:bidi="ar-SA"/>
              </w:rPr>
              <w:t>700</w:t>
            </w:r>
          </w:p>
        </w:tc>
        <w:tc>
          <w:tcPr>
            <w:tcW w:w="2340" w:type="dxa"/>
            <w:tcBorders>
              <w:top w:val="single" w:color="auto" w:sz="4" w:space="0"/>
              <w:bottom w:val="single" w:color="auto" w:sz="8" w:space="0"/>
            </w:tcBorders>
            <w:noWrap w:val="0"/>
            <w:vAlign w:val="center"/>
          </w:tcPr>
          <w:p>
            <w:pPr>
              <w:tabs>
                <w:tab w:val="center" w:pos="4201"/>
                <w:tab w:val="right" w:leader="dot" w:pos="9298"/>
              </w:tabs>
              <w:autoSpaceDE w:val="0"/>
              <w:autoSpaceDN w:val="0"/>
              <w:ind w:firstLine="0" w:firstLineChars="0"/>
              <w:jc w:val="center"/>
              <w:rPr>
                <w:rFonts w:hint="eastAsia" w:ascii="宋体" w:hAnsi="Times New Roman" w:eastAsia="宋体" w:cs="Times New Roman"/>
                <w:b w:val="0"/>
                <w:bCs/>
                <w:sz w:val="18"/>
                <w:szCs w:val="18"/>
                <w:lang w:val="en-US" w:eastAsia="zh-CN" w:bidi="ar-SA"/>
              </w:rPr>
            </w:pPr>
            <w:r>
              <w:rPr>
                <w:rFonts w:hint="eastAsia" w:ascii="宋体" w:hAnsi="Times New Roman" w:eastAsia="宋体" w:cs="Times New Roman"/>
                <w:b w:val="0"/>
                <w:bCs/>
                <w:sz w:val="18"/>
                <w:szCs w:val="18"/>
                <w:lang w:val="en-US" w:eastAsia="zh-CN" w:bidi="ar-SA"/>
              </w:rPr>
              <w:t>NY/T 889</w:t>
            </w:r>
          </w:p>
        </w:tc>
      </w:tr>
    </w:tbl>
    <w:p>
      <w:pPr>
        <w:pStyle w:val="23"/>
        <w:rPr>
          <w:rFonts w:hint="eastAsia"/>
          <w:lang w:val="en-US" w:eastAsia="zh-CN"/>
        </w:rPr>
      </w:pPr>
    </w:p>
    <w:p>
      <w:pPr>
        <w:pStyle w:val="23"/>
        <w:rPr>
          <w:rFonts w:hint="eastAsia"/>
          <w:lang w:val="en-US" w:eastAsia="zh-CN"/>
        </w:rPr>
      </w:pPr>
    </w:p>
    <w:p>
      <w:pPr>
        <w:rPr>
          <w:rFonts w:hint="eastAsia"/>
          <w:lang w:val="en-US" w:eastAsia="zh-CN"/>
        </w:rPr>
      </w:pPr>
      <w:r>
        <w:rPr>
          <w:rFonts w:hint="eastAsia"/>
          <w:lang w:val="en-US" w:eastAsia="zh-CN"/>
        </w:rPr>
        <w:br w:type="page"/>
      </w:r>
    </w:p>
    <w:p>
      <w:pPr>
        <w:pStyle w:val="97"/>
        <w:bidi w:val="0"/>
        <w:rPr>
          <w:rFonts w:hint="eastAsia"/>
          <w:lang w:val="en-US" w:eastAsia="zh-CN"/>
        </w:rPr>
      </w:pPr>
    </w:p>
    <w:p>
      <w:pPr>
        <w:pStyle w:val="99"/>
        <w:bidi w:val="0"/>
        <w:rPr>
          <w:rFonts w:hint="eastAsia"/>
          <w:lang w:val="en-US" w:eastAsia="zh-CN"/>
        </w:rPr>
      </w:pPr>
    </w:p>
    <w:p>
      <w:pPr>
        <w:pStyle w:val="86"/>
        <w:bidi w:val="0"/>
        <w:rPr>
          <w:rFonts w:hint="eastAsia"/>
          <w:b w:val="0"/>
          <w:bCs/>
          <w:lang w:val="en-US" w:eastAsia="zh-CN"/>
        </w:rPr>
      </w:pPr>
      <w:bookmarkStart w:id="49" w:name="_Toc685"/>
      <w:r>
        <w:rPr>
          <w:rFonts w:hint="eastAsia"/>
          <w:b w:val="0"/>
          <w:bCs/>
          <w:lang w:val="en-US" w:eastAsia="zh-CN"/>
        </w:rPr>
        <w:br w:type="textWrapping"/>
      </w:r>
      <w:r>
        <w:rPr>
          <w:rFonts w:hint="eastAsia"/>
          <w:b w:val="0"/>
          <w:bCs/>
          <w:lang w:val="en-US" w:eastAsia="zh-CN"/>
        </w:rPr>
        <w:t>（资料性）</w:t>
      </w:r>
      <w:r>
        <w:rPr>
          <w:rFonts w:hint="eastAsia"/>
          <w:b w:val="0"/>
          <w:bCs/>
          <w:lang w:val="en-US" w:eastAsia="zh-CN"/>
        </w:rPr>
        <w:br w:type="textWrapping"/>
      </w:r>
      <w:r>
        <w:rPr>
          <w:rFonts w:hint="eastAsia"/>
          <w:b w:val="0"/>
          <w:bCs/>
          <w:lang w:val="en-US" w:eastAsia="zh-CN"/>
        </w:rPr>
        <w:t>评价记录表</w:t>
      </w:r>
      <w:bookmarkEnd w:id="49"/>
    </w:p>
    <w:p>
      <w:pPr>
        <w:autoSpaceDE w:val="0"/>
        <w:autoSpaceDN w:val="0"/>
        <w:ind w:firstLine="420" w:firstLineChars="200"/>
        <w:jc w:val="both"/>
        <w:rPr>
          <w:rFonts w:hint="eastAsia" w:ascii="宋体" w:hAnsi="Times New Roman" w:eastAsia="宋体" w:cs="Times New Roman"/>
          <w:b w:val="0"/>
          <w:bCs/>
          <w:sz w:val="21"/>
          <w:lang w:val="en-US" w:eastAsia="zh-CN" w:bidi="ar-SA"/>
        </w:rPr>
      </w:pPr>
      <w:r>
        <w:rPr>
          <w:rFonts w:hint="eastAsia" w:ascii="宋体" w:hAnsi="Times New Roman" w:eastAsia="宋体" w:cs="Times New Roman"/>
          <w:b w:val="0"/>
          <w:bCs/>
          <w:sz w:val="21"/>
          <w:lang w:val="en-US" w:eastAsia="zh-CN" w:bidi="ar-SA"/>
        </w:rPr>
        <w:t>甘薯产地环境的现状调查、产地环境监测、质量要求、产地环境评价的全过程及最终的评价结论</w:t>
      </w:r>
      <w:r>
        <w:rPr>
          <w:rFonts w:hint="eastAsia" w:cs="Times New Roman"/>
          <w:b w:val="0"/>
          <w:bCs/>
          <w:sz w:val="21"/>
          <w:lang w:val="en-US" w:eastAsia="zh-CN" w:bidi="ar-SA"/>
        </w:rPr>
        <w:t>记录</w:t>
      </w:r>
      <w:r>
        <w:rPr>
          <w:rFonts w:hint="eastAsia" w:ascii="宋体" w:hAnsi="Times New Roman" w:eastAsia="宋体" w:cs="Times New Roman"/>
          <w:b w:val="0"/>
          <w:bCs/>
          <w:sz w:val="21"/>
          <w:lang w:val="en-US" w:eastAsia="zh-CN" w:bidi="ar-SA"/>
        </w:rPr>
        <w:t>见表C.1。</w:t>
      </w:r>
    </w:p>
    <w:p>
      <w:pPr>
        <w:pStyle w:val="100"/>
        <w:bidi w:val="0"/>
        <w:rPr>
          <w:rFonts w:hint="eastAsia" w:ascii="黑体" w:hAnsi="黑体" w:eastAsia="黑体" w:cs="黑体"/>
          <w:b w:val="0"/>
          <w:bCs/>
          <w:color w:val="auto"/>
          <w:kern w:val="2"/>
          <w:sz w:val="21"/>
          <w:szCs w:val="22"/>
          <w:lang w:val="en-US" w:eastAsia="zh-CN" w:bidi="ar-SA"/>
        </w:rPr>
      </w:pPr>
      <w:r>
        <w:rPr>
          <w:rFonts w:hint="eastAsia" w:ascii="黑体" w:hAnsi="黑体" w:eastAsia="黑体" w:cs="黑体"/>
          <w:b w:val="0"/>
          <w:bCs/>
          <w:color w:val="auto"/>
          <w:kern w:val="2"/>
          <w:sz w:val="21"/>
          <w:szCs w:val="22"/>
          <w:lang w:val="en-US" w:eastAsia="zh-CN" w:bidi="ar-SA"/>
        </w:rPr>
        <w:t>评价记录表</w:t>
      </w:r>
    </w:p>
    <w:bookmarkEnd w:id="46"/>
    <w:tbl>
      <w:tblPr>
        <w:tblStyle w:val="20"/>
        <w:tblpPr w:leftFromText="180" w:rightFromText="180" w:vertAnchor="page" w:horzAnchor="page" w:tblpX="1509" w:tblpY="4363"/>
        <w:tblOverlap w:val="never"/>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5"/>
        <w:gridCol w:w="1215"/>
        <w:gridCol w:w="1166"/>
        <w:gridCol w:w="1292"/>
        <w:gridCol w:w="10"/>
        <w:gridCol w:w="1304"/>
        <w:gridCol w:w="2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535" w:type="dxa"/>
            <w:tcBorders>
              <w:top w:val="single" w:color="000000" w:sz="8" w:space="0"/>
              <w:left w:val="single" w:color="000000" w:sz="8" w:space="0"/>
              <w:right w:val="single" w:color="auto" w:sz="4" w:space="0"/>
            </w:tcBorders>
            <w:vAlign w:val="center"/>
          </w:tcPr>
          <w:p>
            <w:pPr>
              <w:adjustRightInd w:val="0"/>
              <w:spacing w:line="240" w:lineRule="auto"/>
              <w:jc w:val="center"/>
              <w:rPr>
                <w:rFonts w:hint="default" w:ascii="宋体" w:hAnsi="Calibri" w:cs="Times New Roman"/>
                <w:b w:val="0"/>
                <w:sz w:val="18"/>
                <w:szCs w:val="18"/>
                <w:lang w:val="en-US" w:eastAsia="zh-CN"/>
              </w:rPr>
            </w:pPr>
            <w:r>
              <w:rPr>
                <w:rFonts w:hint="eastAsia" w:ascii="宋体" w:hAnsi="Calibri" w:cs="Times New Roman"/>
                <w:b w:val="0"/>
                <w:sz w:val="18"/>
                <w:szCs w:val="18"/>
                <w:lang w:val="en-US" w:eastAsia="zh-CN"/>
              </w:rPr>
              <w:t>监测地点</w:t>
            </w:r>
          </w:p>
        </w:tc>
        <w:tc>
          <w:tcPr>
            <w:tcW w:w="2381" w:type="dxa"/>
            <w:gridSpan w:val="2"/>
            <w:tcBorders>
              <w:top w:val="single" w:color="000000" w:sz="8" w:space="0"/>
              <w:left w:val="single" w:color="auto" w:sz="4" w:space="0"/>
              <w:bottom w:val="single" w:color="000000" w:sz="8" w:space="0"/>
              <w:right w:val="single" w:color="auto" w:sz="4" w:space="0"/>
            </w:tcBorders>
            <w:vAlign w:val="center"/>
          </w:tcPr>
          <w:p>
            <w:pPr>
              <w:adjustRightInd w:val="0"/>
              <w:spacing w:line="240" w:lineRule="auto"/>
              <w:jc w:val="center"/>
              <w:rPr>
                <w:rFonts w:hint="default" w:ascii="宋体" w:hAnsi="Calibri" w:cs="Times New Roman"/>
                <w:b w:val="0"/>
                <w:sz w:val="18"/>
                <w:szCs w:val="18"/>
                <w:lang w:val="en-US" w:eastAsia="zh-CN"/>
              </w:rPr>
            </w:pPr>
          </w:p>
        </w:tc>
        <w:tc>
          <w:tcPr>
            <w:tcW w:w="1292" w:type="dxa"/>
            <w:tcBorders>
              <w:top w:val="single" w:color="000000" w:sz="8" w:space="0"/>
              <w:left w:val="single" w:color="auto" w:sz="4" w:space="0"/>
              <w:bottom w:val="single" w:color="000000" w:sz="8" w:space="0"/>
              <w:right w:val="single" w:color="auto" w:sz="4" w:space="0"/>
            </w:tcBorders>
            <w:vAlign w:val="center"/>
          </w:tcPr>
          <w:p>
            <w:pPr>
              <w:adjustRightInd w:val="0"/>
              <w:spacing w:line="240" w:lineRule="auto"/>
              <w:jc w:val="center"/>
              <w:rPr>
                <w:rFonts w:hint="default" w:ascii="宋体" w:hAnsi="Calibri" w:cs="Times New Roman"/>
                <w:b w:val="0"/>
                <w:sz w:val="18"/>
                <w:szCs w:val="18"/>
                <w:lang w:val="en-US" w:eastAsia="zh-CN"/>
              </w:rPr>
            </w:pPr>
            <w:r>
              <w:rPr>
                <w:rFonts w:hint="eastAsia" w:ascii="宋体" w:hAnsi="Calibri" w:cs="Times New Roman"/>
                <w:b w:val="0"/>
                <w:sz w:val="18"/>
                <w:szCs w:val="18"/>
                <w:lang w:val="en-US" w:eastAsia="zh-CN"/>
              </w:rPr>
              <w:t>监测时间</w:t>
            </w:r>
          </w:p>
        </w:tc>
        <w:tc>
          <w:tcPr>
            <w:tcW w:w="4071" w:type="dxa"/>
            <w:gridSpan w:val="3"/>
            <w:tcBorders>
              <w:top w:val="single" w:color="000000" w:sz="8" w:space="0"/>
              <w:left w:val="single" w:color="auto" w:sz="4" w:space="0"/>
              <w:bottom w:val="single" w:color="000000" w:sz="8" w:space="0"/>
              <w:right w:val="single" w:color="000000" w:sz="8" w:space="0"/>
            </w:tcBorders>
            <w:vAlign w:val="center"/>
          </w:tcPr>
          <w:p>
            <w:pPr>
              <w:adjustRightInd w:val="0"/>
              <w:spacing w:line="240" w:lineRule="auto"/>
              <w:jc w:val="center"/>
              <w:rPr>
                <w:rFonts w:hint="default" w:ascii="宋体" w:hAnsi="Calibri" w:cs="Times New Roman"/>
                <w:b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535" w:type="dxa"/>
            <w:tcBorders>
              <w:left w:val="single" w:color="000000" w:sz="8" w:space="0"/>
              <w:bottom w:val="single" w:color="auto" w:sz="4" w:space="0"/>
              <w:right w:val="single" w:color="auto" w:sz="4" w:space="0"/>
            </w:tcBorders>
            <w:vAlign w:val="center"/>
          </w:tcPr>
          <w:p>
            <w:pPr>
              <w:adjustRightInd w:val="0"/>
              <w:spacing w:line="240" w:lineRule="auto"/>
              <w:jc w:val="center"/>
              <w:rPr>
                <w:rFonts w:hint="eastAsia" w:ascii="宋体" w:hAnsi="Calibri" w:cs="Times New Roman"/>
                <w:b w:val="0"/>
                <w:sz w:val="18"/>
                <w:szCs w:val="18"/>
                <w:lang w:val="en-US" w:eastAsia="zh-CN"/>
              </w:rPr>
            </w:pPr>
            <w:r>
              <w:rPr>
                <w:rFonts w:hint="eastAsia" w:ascii="宋体" w:hAnsi="Calibri" w:cs="Times New Roman"/>
                <w:b w:val="0"/>
                <w:sz w:val="18"/>
                <w:szCs w:val="18"/>
                <w:lang w:val="en-US" w:eastAsia="zh-CN"/>
              </w:rPr>
              <w:t>联系人</w:t>
            </w:r>
          </w:p>
        </w:tc>
        <w:tc>
          <w:tcPr>
            <w:tcW w:w="2381" w:type="dxa"/>
            <w:gridSpan w:val="2"/>
            <w:tcBorders>
              <w:top w:val="single" w:color="000000" w:sz="8"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cs="Times New Roman"/>
                <w:b w:val="0"/>
                <w:sz w:val="18"/>
                <w:szCs w:val="18"/>
                <w:lang w:val="en-US" w:eastAsia="zh-CN"/>
              </w:rPr>
            </w:pPr>
          </w:p>
        </w:tc>
        <w:tc>
          <w:tcPr>
            <w:tcW w:w="1292" w:type="dxa"/>
            <w:tcBorders>
              <w:top w:val="single" w:color="000000" w:sz="8"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cs="Times New Roman"/>
                <w:b w:val="0"/>
                <w:sz w:val="18"/>
                <w:szCs w:val="18"/>
                <w:lang w:val="en-US" w:eastAsia="zh-CN"/>
              </w:rPr>
            </w:pPr>
            <w:r>
              <w:rPr>
                <w:rFonts w:hint="eastAsia" w:ascii="宋体" w:hAnsi="Calibri" w:cs="Times New Roman"/>
                <w:b w:val="0"/>
                <w:sz w:val="18"/>
                <w:szCs w:val="18"/>
                <w:lang w:val="en-US" w:eastAsia="zh-CN"/>
              </w:rPr>
              <w:t>联系方式</w:t>
            </w:r>
          </w:p>
        </w:tc>
        <w:tc>
          <w:tcPr>
            <w:tcW w:w="4071" w:type="dxa"/>
            <w:gridSpan w:val="3"/>
            <w:tcBorders>
              <w:top w:val="single" w:color="000000" w:sz="8" w:space="0"/>
              <w:left w:val="single" w:color="auto" w:sz="4" w:space="0"/>
              <w:bottom w:val="single" w:color="auto" w:sz="4" w:space="0"/>
              <w:right w:val="single" w:color="000000" w:sz="8" w:space="0"/>
            </w:tcBorders>
            <w:vAlign w:val="center"/>
          </w:tcPr>
          <w:p>
            <w:pPr>
              <w:adjustRightInd w:val="0"/>
              <w:spacing w:line="240" w:lineRule="auto"/>
              <w:jc w:val="center"/>
              <w:rPr>
                <w:rFonts w:hint="eastAsia" w:ascii="宋体" w:hAnsi="Calibri" w:cs="Times New Roman"/>
                <w:b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5" w:type="dxa"/>
            <w:vMerge w:val="restart"/>
            <w:tcBorders>
              <w:top w:val="single" w:color="auto" w:sz="4" w:space="0"/>
              <w:left w:val="single" w:color="000000" w:sz="8" w:space="0"/>
              <w:right w:val="single" w:color="auto" w:sz="4" w:space="0"/>
            </w:tcBorders>
            <w:vAlign w:val="center"/>
          </w:tcPr>
          <w:p>
            <w:pPr>
              <w:adjustRightInd w:val="0"/>
              <w:spacing w:line="240" w:lineRule="auto"/>
              <w:jc w:val="center"/>
              <w:rPr>
                <w:rFonts w:hint="default" w:ascii="宋体" w:hAnsi="Calibri" w:cs="Times New Roman"/>
                <w:b w:val="0"/>
                <w:sz w:val="18"/>
                <w:szCs w:val="18"/>
                <w:lang w:val="en-US" w:eastAsia="zh-CN"/>
              </w:rPr>
            </w:pPr>
            <w:r>
              <w:rPr>
                <w:rFonts w:hint="eastAsia" w:ascii="宋体" w:hAnsi="Calibri" w:cs="Times New Roman"/>
                <w:b w:val="0"/>
                <w:sz w:val="18"/>
                <w:szCs w:val="18"/>
                <w:lang w:val="en-US" w:eastAsia="zh-CN"/>
              </w:rPr>
              <w:t>现状调查</w:t>
            </w:r>
          </w:p>
        </w:tc>
        <w:tc>
          <w:tcPr>
            <w:tcW w:w="1215" w:type="dxa"/>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eastAsia="宋体" w:cs="Times New Roman"/>
                <w:b w:val="0"/>
                <w:kern w:val="2"/>
                <w:sz w:val="18"/>
                <w:szCs w:val="18"/>
                <w:lang w:val="en-US" w:eastAsia="zh-CN" w:bidi="ar-SA"/>
              </w:rPr>
            </w:pPr>
            <w:r>
              <w:rPr>
                <w:rFonts w:hint="eastAsia" w:ascii="宋体" w:hAnsi="Calibri" w:cs="Times New Roman"/>
                <w:b w:val="0"/>
                <w:sz w:val="18"/>
                <w:szCs w:val="18"/>
                <w:lang w:val="en-US" w:eastAsia="zh-CN"/>
              </w:rPr>
              <w:t>自然环境</w:t>
            </w:r>
          </w:p>
        </w:tc>
        <w:tc>
          <w:tcPr>
            <w:tcW w:w="1166" w:type="dxa"/>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eastAsia="宋体" w:cs="Times New Roman"/>
                <w:b w:val="0"/>
                <w:kern w:val="2"/>
                <w:sz w:val="18"/>
                <w:szCs w:val="18"/>
                <w:lang w:val="en-US" w:eastAsia="zh-CN" w:bidi="ar-SA"/>
              </w:rPr>
            </w:pPr>
            <w:r>
              <w:rPr>
                <w:rFonts w:hint="eastAsia" w:ascii="宋体" w:hAnsi="Calibri" w:cs="Times New Roman"/>
                <w:b w:val="0"/>
                <w:sz w:val="18"/>
                <w:szCs w:val="18"/>
                <w:lang w:val="en-US" w:eastAsia="zh-CN"/>
              </w:rPr>
              <w:t>社会环境</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eastAsia="宋体" w:cs="Times New Roman"/>
                <w:b w:val="0"/>
                <w:kern w:val="2"/>
                <w:sz w:val="18"/>
                <w:szCs w:val="18"/>
                <w:lang w:val="en-US" w:eastAsia="zh-CN" w:bidi="ar-SA"/>
              </w:rPr>
            </w:pPr>
            <w:r>
              <w:rPr>
                <w:rFonts w:hint="eastAsia" w:ascii="宋体" w:hAnsi="Calibri" w:cs="Times New Roman"/>
                <w:b w:val="0"/>
                <w:sz w:val="18"/>
                <w:szCs w:val="18"/>
                <w:lang w:val="en-US" w:eastAsia="zh-CN"/>
              </w:rPr>
              <w:t>污染源概况</w:t>
            </w:r>
          </w:p>
        </w:tc>
        <w:tc>
          <w:tcPr>
            <w:tcW w:w="1304" w:type="dxa"/>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eastAsia="宋体" w:cs="Times New Roman"/>
                <w:b w:val="0"/>
                <w:kern w:val="2"/>
                <w:sz w:val="18"/>
                <w:szCs w:val="18"/>
                <w:lang w:val="en-US" w:eastAsia="zh-CN" w:bidi="ar-SA"/>
              </w:rPr>
            </w:pPr>
            <w:r>
              <w:rPr>
                <w:rFonts w:hint="eastAsia" w:ascii="宋体" w:hAnsi="Calibri" w:cs="Times New Roman"/>
                <w:b w:val="0"/>
                <w:sz w:val="18"/>
                <w:szCs w:val="18"/>
                <w:lang w:val="en-US" w:eastAsia="zh-CN"/>
              </w:rPr>
              <w:t>环境质量概况</w:t>
            </w:r>
          </w:p>
        </w:tc>
        <w:tc>
          <w:tcPr>
            <w:tcW w:w="2757" w:type="dxa"/>
            <w:tcBorders>
              <w:top w:val="single" w:color="auto" w:sz="4" w:space="0"/>
              <w:left w:val="single" w:color="auto" w:sz="4" w:space="0"/>
              <w:bottom w:val="single" w:color="auto" w:sz="4" w:space="0"/>
              <w:right w:val="single" w:color="000000" w:sz="8" w:space="0"/>
            </w:tcBorders>
            <w:vAlign w:val="center"/>
          </w:tcPr>
          <w:p>
            <w:pPr>
              <w:adjustRightInd w:val="0"/>
              <w:spacing w:line="240" w:lineRule="auto"/>
              <w:jc w:val="center"/>
              <w:rPr>
                <w:rFonts w:hint="eastAsia" w:ascii="宋体" w:hAnsi="Calibri" w:eastAsia="宋体" w:cs="Times New Roman"/>
                <w:b w:val="0"/>
                <w:kern w:val="2"/>
                <w:sz w:val="18"/>
                <w:szCs w:val="18"/>
                <w:lang w:val="en-US" w:eastAsia="zh-CN" w:bidi="ar-SA"/>
              </w:rPr>
            </w:pPr>
            <w:r>
              <w:rPr>
                <w:rFonts w:hint="eastAsia" w:ascii="宋体" w:hAnsi="Calibri" w:cs="Times New Roman"/>
                <w:b w:val="0"/>
                <w:sz w:val="18"/>
                <w:szCs w:val="18"/>
                <w:lang w:val="en-US" w:eastAsia="zh-CN"/>
              </w:rPr>
              <w:t>农业生态环境保护措施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5" w:type="dxa"/>
            <w:vMerge w:val="continue"/>
            <w:tcBorders>
              <w:left w:val="single" w:color="000000" w:sz="8" w:space="0"/>
              <w:bottom w:val="single" w:color="auto" w:sz="4" w:space="0"/>
              <w:right w:val="single" w:color="auto" w:sz="4" w:space="0"/>
            </w:tcBorders>
            <w:vAlign w:val="center"/>
          </w:tcPr>
          <w:p>
            <w:pPr>
              <w:adjustRightInd w:val="0"/>
              <w:spacing w:line="240" w:lineRule="auto"/>
              <w:jc w:val="center"/>
              <w:rPr>
                <w:rFonts w:hint="eastAsia" w:ascii="宋体" w:hAnsi="Calibri" w:cs="Times New Roman"/>
                <w:b w:val="0"/>
                <w:sz w:val="18"/>
                <w:szCs w:val="18"/>
                <w:lang w:val="en-US" w:eastAsia="zh-CN"/>
              </w:rPr>
            </w:pPr>
          </w:p>
        </w:tc>
        <w:tc>
          <w:tcPr>
            <w:tcW w:w="1215" w:type="dxa"/>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cs="Times New Roman"/>
                <w:b w:val="0"/>
                <w:sz w:val="18"/>
                <w:szCs w:val="18"/>
                <w:lang w:val="en-US" w:eastAsia="zh-CN"/>
              </w:rPr>
            </w:pPr>
          </w:p>
        </w:tc>
        <w:tc>
          <w:tcPr>
            <w:tcW w:w="1166" w:type="dxa"/>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cs="Times New Roman"/>
                <w:b w:val="0"/>
                <w:sz w:val="18"/>
                <w:szCs w:val="18"/>
              </w:rPr>
            </w:pPr>
          </w:p>
        </w:tc>
        <w:tc>
          <w:tcPr>
            <w:tcW w:w="1302" w:type="dxa"/>
            <w:gridSpan w:val="2"/>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cs="Times New Roman"/>
                <w:b w:val="0"/>
                <w:sz w:val="18"/>
                <w:szCs w:val="18"/>
              </w:rPr>
            </w:pPr>
          </w:p>
        </w:tc>
        <w:tc>
          <w:tcPr>
            <w:tcW w:w="1304" w:type="dxa"/>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cs="Times New Roman"/>
                <w:b w:val="0"/>
                <w:sz w:val="18"/>
                <w:szCs w:val="18"/>
              </w:rPr>
            </w:pPr>
          </w:p>
        </w:tc>
        <w:tc>
          <w:tcPr>
            <w:tcW w:w="2757" w:type="dxa"/>
            <w:tcBorders>
              <w:top w:val="single" w:color="auto" w:sz="4" w:space="0"/>
              <w:left w:val="single" w:color="auto" w:sz="4" w:space="0"/>
              <w:bottom w:val="single" w:color="auto" w:sz="4" w:space="0"/>
              <w:right w:val="single" w:color="000000" w:sz="8" w:space="0"/>
            </w:tcBorders>
            <w:vAlign w:val="center"/>
          </w:tcPr>
          <w:p>
            <w:pPr>
              <w:adjustRightInd w:val="0"/>
              <w:spacing w:line="240" w:lineRule="auto"/>
              <w:jc w:val="center"/>
              <w:rPr>
                <w:rFonts w:hint="eastAsia" w:ascii="宋体" w:hAnsi="Calibri" w:cs="Times New Roman"/>
                <w:b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535" w:type="dxa"/>
            <w:vMerge w:val="restart"/>
            <w:tcBorders>
              <w:top w:val="single" w:color="auto" w:sz="4" w:space="0"/>
              <w:left w:val="single" w:color="000000" w:sz="8" w:space="0"/>
              <w:right w:val="single" w:color="auto" w:sz="4" w:space="0"/>
            </w:tcBorders>
            <w:vAlign w:val="center"/>
          </w:tcPr>
          <w:p>
            <w:pPr>
              <w:adjustRightInd w:val="0"/>
              <w:spacing w:line="240" w:lineRule="auto"/>
              <w:jc w:val="center"/>
              <w:rPr>
                <w:rFonts w:hint="default" w:ascii="宋体" w:hAnsi="Calibri" w:cs="Times New Roman"/>
                <w:b w:val="0"/>
                <w:sz w:val="18"/>
                <w:szCs w:val="18"/>
                <w:lang w:val="en-US" w:eastAsia="zh-CN"/>
              </w:rPr>
            </w:pPr>
            <w:r>
              <w:rPr>
                <w:rFonts w:hint="eastAsia" w:ascii="宋体" w:hAnsi="Calibri" w:cs="Times New Roman"/>
                <w:b w:val="0"/>
                <w:sz w:val="18"/>
                <w:szCs w:val="18"/>
                <w:lang w:val="en-US" w:eastAsia="zh-CN"/>
              </w:rPr>
              <w:t>环境监测</w:t>
            </w:r>
          </w:p>
        </w:tc>
        <w:tc>
          <w:tcPr>
            <w:tcW w:w="3683" w:type="dxa"/>
            <w:gridSpan w:val="4"/>
            <w:tcBorders>
              <w:top w:val="single" w:color="auto" w:sz="4" w:space="0"/>
              <w:left w:val="single" w:color="auto" w:sz="4" w:space="0"/>
              <w:bottom w:val="single" w:color="auto" w:sz="4" w:space="0"/>
              <w:right w:val="single" w:color="000000" w:sz="8" w:space="0"/>
            </w:tcBorders>
            <w:vAlign w:val="center"/>
          </w:tcPr>
          <w:p>
            <w:pPr>
              <w:adjustRightInd w:val="0"/>
              <w:spacing w:line="240" w:lineRule="auto"/>
              <w:jc w:val="center"/>
              <w:rPr>
                <w:rFonts w:hint="eastAsia" w:ascii="宋体" w:hAnsi="Calibri" w:eastAsia="宋体" w:cs="Times New Roman"/>
                <w:b w:val="0"/>
                <w:sz w:val="18"/>
                <w:szCs w:val="18"/>
                <w:lang w:eastAsia="zh-CN"/>
              </w:rPr>
            </w:pPr>
            <w:r>
              <w:rPr>
                <w:rFonts w:hint="eastAsia" w:ascii="宋体" w:hAnsi="Calibri" w:cs="Times New Roman"/>
                <w:b w:val="0"/>
                <w:sz w:val="18"/>
                <w:szCs w:val="18"/>
                <w:lang w:eastAsia="zh-CN"/>
              </w:rPr>
              <w:t>灌溉水</w:t>
            </w:r>
          </w:p>
        </w:tc>
        <w:tc>
          <w:tcPr>
            <w:tcW w:w="4061" w:type="dxa"/>
            <w:gridSpan w:val="2"/>
            <w:tcBorders>
              <w:top w:val="single" w:color="auto" w:sz="4" w:space="0"/>
              <w:left w:val="single" w:color="auto" w:sz="4" w:space="0"/>
              <w:bottom w:val="single" w:color="auto" w:sz="4" w:space="0"/>
              <w:right w:val="single" w:color="000000" w:sz="8" w:space="0"/>
            </w:tcBorders>
            <w:vAlign w:val="center"/>
          </w:tcPr>
          <w:p>
            <w:pPr>
              <w:adjustRightInd w:val="0"/>
              <w:spacing w:line="240" w:lineRule="auto"/>
              <w:jc w:val="center"/>
              <w:rPr>
                <w:rFonts w:hint="eastAsia" w:ascii="宋体" w:hAnsi="Calibri" w:eastAsia="宋体" w:cs="Times New Roman"/>
                <w:b w:val="0"/>
                <w:sz w:val="18"/>
                <w:szCs w:val="18"/>
                <w:lang w:eastAsia="zh-CN"/>
              </w:rPr>
            </w:pPr>
            <w:r>
              <w:rPr>
                <w:rFonts w:hint="eastAsia" w:ascii="宋体" w:hAnsi="Calibri" w:cs="Times New Roman"/>
                <w:b w:val="0"/>
                <w:sz w:val="18"/>
                <w:szCs w:val="18"/>
                <w:lang w:eastAsia="zh-CN"/>
              </w:rPr>
              <w:t>土壤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5" w:type="dxa"/>
            <w:vMerge w:val="continue"/>
            <w:tcBorders>
              <w:left w:val="single" w:color="000000" w:sz="8" w:space="0"/>
              <w:bottom w:val="single" w:color="auto" w:sz="4" w:space="0"/>
              <w:right w:val="single" w:color="auto" w:sz="4" w:space="0"/>
            </w:tcBorders>
            <w:vAlign w:val="center"/>
          </w:tcPr>
          <w:p>
            <w:pPr>
              <w:adjustRightInd w:val="0"/>
              <w:spacing w:line="240" w:lineRule="auto"/>
              <w:jc w:val="center"/>
              <w:rPr>
                <w:rFonts w:hint="default" w:ascii="宋体" w:hAnsi="Calibri" w:cs="Times New Roman"/>
                <w:b w:val="0"/>
                <w:sz w:val="18"/>
                <w:szCs w:val="18"/>
                <w:lang w:val="en-US" w:eastAsia="zh-CN"/>
              </w:rPr>
            </w:pPr>
          </w:p>
        </w:tc>
        <w:tc>
          <w:tcPr>
            <w:tcW w:w="3683" w:type="dxa"/>
            <w:gridSpan w:val="4"/>
            <w:tcBorders>
              <w:top w:val="single" w:color="auto" w:sz="4" w:space="0"/>
              <w:left w:val="single" w:color="auto" w:sz="4" w:space="0"/>
              <w:bottom w:val="single" w:color="auto" w:sz="4" w:space="0"/>
              <w:right w:val="single" w:color="000000" w:sz="8" w:space="0"/>
            </w:tcBorders>
            <w:vAlign w:val="center"/>
          </w:tcPr>
          <w:p>
            <w:pPr>
              <w:adjustRightInd w:val="0"/>
              <w:spacing w:line="240" w:lineRule="auto"/>
              <w:jc w:val="center"/>
              <w:rPr>
                <w:rFonts w:hint="eastAsia" w:ascii="宋体" w:hAnsi="Calibri" w:cs="Times New Roman"/>
                <w:b w:val="0"/>
                <w:sz w:val="18"/>
                <w:szCs w:val="18"/>
              </w:rPr>
            </w:pPr>
          </w:p>
        </w:tc>
        <w:tc>
          <w:tcPr>
            <w:tcW w:w="4061" w:type="dxa"/>
            <w:gridSpan w:val="2"/>
            <w:tcBorders>
              <w:top w:val="single" w:color="auto" w:sz="4" w:space="0"/>
              <w:left w:val="single" w:color="auto" w:sz="4" w:space="0"/>
              <w:bottom w:val="single" w:color="auto" w:sz="4" w:space="0"/>
              <w:right w:val="single" w:color="000000" w:sz="8" w:space="0"/>
            </w:tcBorders>
            <w:vAlign w:val="center"/>
          </w:tcPr>
          <w:p>
            <w:pPr>
              <w:adjustRightInd w:val="0"/>
              <w:spacing w:line="240" w:lineRule="auto"/>
              <w:jc w:val="center"/>
              <w:rPr>
                <w:rFonts w:hint="eastAsia" w:ascii="宋体" w:hAnsi="Calibri" w:cs="Times New Roman"/>
                <w:b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535" w:type="dxa"/>
            <w:tcBorders>
              <w:top w:val="single" w:color="auto" w:sz="4" w:space="0"/>
              <w:left w:val="single" w:color="000000" w:sz="8" w:space="0"/>
              <w:right w:val="single" w:color="auto" w:sz="4" w:space="0"/>
            </w:tcBorders>
            <w:vAlign w:val="center"/>
          </w:tcPr>
          <w:p>
            <w:pPr>
              <w:adjustRightInd w:val="0"/>
              <w:spacing w:line="240" w:lineRule="auto"/>
              <w:jc w:val="center"/>
              <w:rPr>
                <w:rFonts w:hint="eastAsia" w:ascii="宋体" w:hAnsi="Calibri" w:cs="Times New Roman"/>
                <w:b w:val="0"/>
                <w:kern w:val="2"/>
                <w:sz w:val="18"/>
                <w:szCs w:val="18"/>
                <w:lang w:val="en-US" w:eastAsia="zh-CN" w:bidi="ar-SA"/>
              </w:rPr>
            </w:pPr>
            <w:r>
              <w:rPr>
                <w:rFonts w:hint="eastAsia" w:ascii="宋体" w:hAnsi="Calibri" w:cs="Times New Roman"/>
                <w:b w:val="0"/>
                <w:kern w:val="2"/>
                <w:sz w:val="18"/>
                <w:szCs w:val="18"/>
                <w:lang w:val="en-US" w:eastAsia="zh-CN" w:bidi="ar-SA"/>
              </w:rPr>
              <w:t>严格控制指标</w:t>
            </w:r>
          </w:p>
          <w:p>
            <w:pPr>
              <w:adjustRightInd w:val="0"/>
              <w:spacing w:line="240" w:lineRule="auto"/>
              <w:jc w:val="center"/>
              <w:rPr>
                <w:rFonts w:hint="eastAsia" w:ascii="宋体" w:hAnsi="Calibri" w:eastAsia="宋体" w:cs="Times New Roman"/>
                <w:b w:val="0"/>
                <w:kern w:val="2"/>
                <w:sz w:val="18"/>
                <w:szCs w:val="18"/>
                <w:lang w:val="en-US" w:eastAsia="zh-CN" w:bidi="ar-SA"/>
              </w:rPr>
            </w:pPr>
            <w:r>
              <w:rPr>
                <w:rFonts w:hint="eastAsia" w:ascii="宋体" w:hAnsi="Calibri" w:cs="Times New Roman"/>
                <w:b w:val="0"/>
                <w:kern w:val="2"/>
                <w:sz w:val="18"/>
                <w:szCs w:val="18"/>
                <w:lang w:val="en-US" w:eastAsia="zh-CN" w:bidi="ar-SA"/>
              </w:rPr>
              <w:t>单项污染指数</w:t>
            </w:r>
          </w:p>
        </w:tc>
        <w:tc>
          <w:tcPr>
            <w:tcW w:w="3683" w:type="dxa"/>
            <w:gridSpan w:val="4"/>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cs="Times New Roman"/>
                <w:b w:val="0"/>
                <w:sz w:val="18"/>
                <w:szCs w:val="18"/>
              </w:rPr>
            </w:pPr>
          </w:p>
        </w:tc>
        <w:tc>
          <w:tcPr>
            <w:tcW w:w="4061" w:type="dxa"/>
            <w:gridSpan w:val="2"/>
            <w:tcBorders>
              <w:top w:val="single" w:color="auto" w:sz="4" w:space="0"/>
              <w:left w:val="single" w:color="auto" w:sz="4" w:space="0"/>
              <w:bottom w:val="single" w:color="auto" w:sz="4" w:space="0"/>
              <w:right w:val="single" w:color="000000" w:sz="8" w:space="0"/>
            </w:tcBorders>
            <w:vAlign w:val="center"/>
          </w:tcPr>
          <w:p>
            <w:pPr>
              <w:adjustRightInd w:val="0"/>
              <w:spacing w:line="240" w:lineRule="auto"/>
              <w:jc w:val="center"/>
              <w:rPr>
                <w:rFonts w:hint="eastAsia" w:ascii="宋体" w:hAnsi="Calibri" w:cs="Times New Roman"/>
                <w:b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535" w:type="dxa"/>
            <w:tcBorders>
              <w:top w:val="single" w:color="auto" w:sz="4" w:space="0"/>
              <w:left w:val="single" w:color="000000" w:sz="8" w:space="0"/>
              <w:right w:val="single" w:color="auto" w:sz="4" w:space="0"/>
            </w:tcBorders>
            <w:vAlign w:val="center"/>
          </w:tcPr>
          <w:p>
            <w:pPr>
              <w:adjustRightInd w:val="0"/>
              <w:spacing w:line="240" w:lineRule="auto"/>
              <w:jc w:val="center"/>
              <w:rPr>
                <w:rFonts w:hint="eastAsia" w:ascii="宋体" w:hAnsi="Calibri" w:cs="Times New Roman"/>
                <w:b w:val="0"/>
                <w:kern w:val="2"/>
                <w:sz w:val="18"/>
                <w:szCs w:val="18"/>
                <w:lang w:val="en-US" w:eastAsia="zh-CN" w:bidi="ar-SA"/>
              </w:rPr>
            </w:pPr>
            <w:r>
              <w:rPr>
                <w:rFonts w:hint="eastAsia" w:ascii="宋体" w:hAnsi="Calibri" w:cs="Times New Roman"/>
                <w:b w:val="0"/>
                <w:kern w:val="2"/>
                <w:sz w:val="18"/>
                <w:szCs w:val="18"/>
                <w:lang w:val="en-US" w:eastAsia="zh-CN" w:bidi="ar-SA"/>
              </w:rPr>
              <w:t>一般控制指标</w:t>
            </w:r>
          </w:p>
          <w:p>
            <w:pPr>
              <w:adjustRightInd w:val="0"/>
              <w:spacing w:line="240" w:lineRule="auto"/>
              <w:jc w:val="center"/>
              <w:rPr>
                <w:rFonts w:hint="eastAsia" w:ascii="宋体" w:hAnsi="Calibri" w:eastAsia="宋体" w:cs="Times New Roman"/>
                <w:b w:val="0"/>
                <w:kern w:val="2"/>
                <w:sz w:val="18"/>
                <w:szCs w:val="18"/>
                <w:lang w:val="en-US" w:eastAsia="zh-CN" w:bidi="ar-SA"/>
              </w:rPr>
            </w:pPr>
            <w:r>
              <w:rPr>
                <w:rFonts w:hint="eastAsia" w:ascii="宋体" w:hAnsi="Calibri" w:cs="Times New Roman"/>
                <w:b w:val="0"/>
                <w:kern w:val="2"/>
                <w:sz w:val="18"/>
                <w:szCs w:val="18"/>
                <w:lang w:val="en-US" w:eastAsia="zh-CN" w:bidi="ar-SA"/>
              </w:rPr>
              <w:t>单项污染指数</w:t>
            </w:r>
          </w:p>
        </w:tc>
        <w:tc>
          <w:tcPr>
            <w:tcW w:w="3683" w:type="dxa"/>
            <w:gridSpan w:val="4"/>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rPr>
                <w:rFonts w:hint="eastAsia" w:ascii="宋体" w:hAnsi="Calibri" w:cs="Times New Roman"/>
                <w:b w:val="0"/>
                <w:sz w:val="18"/>
                <w:szCs w:val="18"/>
              </w:rPr>
            </w:pPr>
          </w:p>
        </w:tc>
        <w:tc>
          <w:tcPr>
            <w:tcW w:w="4061" w:type="dxa"/>
            <w:gridSpan w:val="2"/>
            <w:tcBorders>
              <w:top w:val="single" w:color="auto" w:sz="4" w:space="0"/>
              <w:left w:val="single" w:color="auto" w:sz="4" w:space="0"/>
              <w:bottom w:val="single" w:color="auto" w:sz="4" w:space="0"/>
              <w:right w:val="single" w:color="000000" w:sz="8" w:space="0"/>
            </w:tcBorders>
            <w:vAlign w:val="center"/>
          </w:tcPr>
          <w:p>
            <w:pPr>
              <w:adjustRightInd w:val="0"/>
              <w:spacing w:line="240" w:lineRule="auto"/>
              <w:jc w:val="center"/>
              <w:rPr>
                <w:rFonts w:hint="eastAsia" w:ascii="宋体" w:hAnsi="Calibri" w:cs="Times New Roman"/>
                <w:b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35" w:type="dxa"/>
            <w:tcBorders>
              <w:top w:val="single" w:color="auto" w:sz="4" w:space="0"/>
              <w:left w:val="single" w:color="000000" w:sz="8" w:space="0"/>
              <w:bottom w:val="single" w:color="auto" w:sz="4" w:space="0"/>
              <w:right w:val="single" w:color="auto" w:sz="4" w:space="0"/>
            </w:tcBorders>
            <w:vAlign w:val="center"/>
          </w:tcPr>
          <w:p>
            <w:pPr>
              <w:adjustRightInd w:val="0"/>
              <w:spacing w:line="240" w:lineRule="auto"/>
              <w:jc w:val="center"/>
              <w:rPr>
                <w:rFonts w:hint="eastAsia" w:ascii="宋体" w:hAnsi="Calibri" w:eastAsia="宋体" w:cs="Times New Roman"/>
                <w:b w:val="0"/>
                <w:kern w:val="2"/>
                <w:sz w:val="18"/>
                <w:szCs w:val="18"/>
                <w:lang w:val="en-US" w:eastAsia="zh-CN" w:bidi="ar-SA"/>
              </w:rPr>
            </w:pPr>
            <w:r>
              <w:rPr>
                <w:rFonts w:hint="eastAsia" w:ascii="宋体" w:hAnsi="Calibri" w:cs="Times New Roman"/>
                <w:b w:val="0"/>
                <w:sz w:val="18"/>
                <w:szCs w:val="18"/>
                <w:lang w:val="en-US" w:eastAsia="zh-CN"/>
              </w:rPr>
              <w:t>综合评价指数</w:t>
            </w:r>
          </w:p>
        </w:tc>
        <w:tc>
          <w:tcPr>
            <w:tcW w:w="7744" w:type="dxa"/>
            <w:gridSpan w:val="6"/>
            <w:tcBorders>
              <w:top w:val="single" w:color="auto" w:sz="4" w:space="0"/>
              <w:left w:val="single" w:color="auto" w:sz="4" w:space="0"/>
              <w:bottom w:val="single" w:color="auto" w:sz="4" w:space="0"/>
              <w:right w:val="single" w:color="000000" w:sz="8" w:space="0"/>
            </w:tcBorders>
            <w:vAlign w:val="center"/>
          </w:tcPr>
          <w:p>
            <w:pPr>
              <w:adjustRightInd w:val="0"/>
              <w:spacing w:line="240" w:lineRule="auto"/>
              <w:jc w:val="center"/>
              <w:rPr>
                <w:rFonts w:hint="eastAsia" w:ascii="宋体" w:hAnsi="Calibri" w:cs="Times New Roman"/>
                <w:b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35" w:type="dxa"/>
            <w:tcBorders>
              <w:top w:val="single" w:color="auto" w:sz="4" w:space="0"/>
              <w:left w:val="single" w:color="000000" w:sz="8" w:space="0"/>
              <w:bottom w:val="single" w:color="000000" w:sz="8" w:space="0"/>
              <w:right w:val="single" w:color="auto" w:sz="4" w:space="0"/>
            </w:tcBorders>
            <w:vAlign w:val="center"/>
          </w:tcPr>
          <w:p>
            <w:pPr>
              <w:adjustRightInd w:val="0"/>
              <w:spacing w:line="240" w:lineRule="auto"/>
              <w:jc w:val="center"/>
              <w:rPr>
                <w:rFonts w:hint="eastAsia" w:ascii="宋体" w:hAnsi="Calibri" w:eastAsia="宋体" w:cs="Times New Roman"/>
                <w:b w:val="0"/>
                <w:kern w:val="2"/>
                <w:sz w:val="18"/>
                <w:szCs w:val="18"/>
                <w:lang w:val="en-US" w:eastAsia="zh-CN" w:bidi="ar-SA"/>
              </w:rPr>
            </w:pPr>
            <w:r>
              <w:rPr>
                <w:rFonts w:hint="eastAsia" w:ascii="宋体" w:hAnsi="Calibri" w:cs="Times New Roman"/>
                <w:b w:val="0"/>
                <w:sz w:val="18"/>
                <w:szCs w:val="18"/>
                <w:lang w:val="en-US" w:eastAsia="zh-CN"/>
              </w:rPr>
              <w:t>评价结论及建议</w:t>
            </w:r>
          </w:p>
        </w:tc>
        <w:tc>
          <w:tcPr>
            <w:tcW w:w="7744" w:type="dxa"/>
            <w:gridSpan w:val="6"/>
            <w:tcBorders>
              <w:top w:val="single" w:color="auto" w:sz="4" w:space="0"/>
              <w:left w:val="single" w:color="auto" w:sz="4" w:space="0"/>
              <w:bottom w:val="single" w:color="000000" w:sz="8" w:space="0"/>
              <w:right w:val="single" w:color="000000" w:sz="8" w:space="0"/>
            </w:tcBorders>
            <w:vAlign w:val="center"/>
          </w:tcPr>
          <w:p>
            <w:pPr>
              <w:adjustRightInd w:val="0"/>
              <w:spacing w:line="240" w:lineRule="auto"/>
              <w:jc w:val="center"/>
              <w:rPr>
                <w:rFonts w:hint="eastAsia" w:ascii="宋体" w:hAnsi="Calibri" w:cs="Times New Roman"/>
                <w:b w:val="0"/>
                <w:sz w:val="18"/>
                <w:szCs w:val="18"/>
              </w:rPr>
            </w:pPr>
          </w:p>
        </w:tc>
      </w:tr>
    </w:tbl>
    <w:p>
      <w:pPr>
        <w:pStyle w:val="23"/>
        <w:bidi w:val="0"/>
        <w:ind w:left="0" w:leftChars="0" w:firstLine="0" w:firstLineChars="0"/>
        <w:rPr>
          <w:rFonts w:hint="eastAsia"/>
          <w:lang w:val="en-US" w:eastAsia="zh-CN"/>
        </w:rPr>
      </w:pPr>
    </w:p>
    <w:p>
      <w:pPr>
        <w:pStyle w:val="110"/>
        <w:bidi w:val="0"/>
        <w:rPr>
          <w:rFonts w:hint="eastAsia"/>
          <w:lang w:val="en-US" w:eastAsia="zh-CN"/>
        </w:rPr>
      </w:pPr>
      <w:bookmarkStart w:id="50" w:name="EndLine"/>
      <w:r>
        <w:rPr>
          <w:rFonts w:hint="eastAsia"/>
          <w:lang w:val="en-US" w:eastAsia="zh-CN"/>
        </w:rPr>
        <w:drawing>
          <wp:inline distT="0" distB="0" distL="114300" distR="114300">
            <wp:extent cx="1485900" cy="317500"/>
            <wp:effectExtent l="0" t="0" r="0" b="6350"/>
            <wp:docPr id="1" name="图片 1" descr="EndLine"/>
            <wp:cNvGraphicFramePr/>
            <a:graphic xmlns:a="http://schemas.openxmlformats.org/drawingml/2006/main">
              <a:graphicData uri="http://schemas.openxmlformats.org/drawingml/2006/picture">
                <pic:pic xmlns:pic="http://schemas.openxmlformats.org/drawingml/2006/picture">
                  <pic:nvPicPr>
                    <pic:cNvPr id="1" name="图片 1" descr="EndLine"/>
                    <pic:cNvPicPr/>
                  </pic:nvPicPr>
                  <pic:blipFill>
                    <a:blip r:embed="rId12"/>
                    <a:stretch>
                      <a:fillRect/>
                    </a:stretch>
                  </pic:blipFill>
                  <pic:spPr>
                    <a:xfrm>
                      <a:off x="0" y="0"/>
                      <a:ext cx="1485900" cy="317500"/>
                    </a:xfrm>
                    <a:prstGeom prst="rect">
                      <a:avLst/>
                    </a:prstGeom>
                  </pic:spPr>
                </pic:pic>
              </a:graphicData>
            </a:graphic>
          </wp:inline>
        </w:drawing>
      </w:r>
      <w:bookmarkEnd w:id="50"/>
    </w:p>
    <w:sectPr>
      <w:pgSz w:w="11906" w:h="16838"/>
      <w:pgMar w:top="1871" w:right="1134" w:bottom="1134" w:left="1134" w:header="1418" w:footer="1134" w:gutter="284"/>
      <w:lnNumType w:countBy="0" w:restart="continuou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东文宋体">
    <w:altName w:val="宋体"/>
    <w:panose1 w:val="00000000000000000000"/>
    <w:charset w:val="00"/>
    <w:family w:val="auto"/>
    <w:pitch w:val="default"/>
    <w:sig w:usb0="00000000" w:usb1="00000000" w:usb2="00000000" w:usb3="00000000" w:csb0="00000000" w:csb1="00000000"/>
  </w:font>
  <w:font w:name="思源宋体">
    <w:panose1 w:val="02020500000000000000"/>
    <w:charset w:val="86"/>
    <w:family w:val="auto"/>
    <w:pitch w:val="default"/>
    <w:sig w:usb0="30000083" w:usb1="2BDF3C10" w:usb2="00000016" w:usb3="00000000" w:csb0="602E0107" w:csb1="00000000"/>
  </w:font>
  <w:font w:name="Batang">
    <w:panose1 w:val="02030600000101010101"/>
    <w:charset w:val="81"/>
    <w:family w:val="auto"/>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bidi w:val="0"/>
      <w:rPr>
        <w:rFonts w:hint="default" w:eastAsia="黑体"/>
        <w:lang w:val="en-US" w:eastAsia="zh-CN"/>
      </w:rPr>
    </w:pPr>
    <w:r>
      <w:rPr>
        <w:rFonts w:hint="eastAsia"/>
        <w:lang w:eastAsia="zh-CN"/>
      </w:rPr>
      <w:t>DB14/T XXX—</w:t>
    </w:r>
    <w:r>
      <w:rPr>
        <w:rFonts w:hint="eastAsia"/>
        <w:lang w:val="en-US" w:eastAsia="zh-CN"/>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AFABDE"/>
    <w:multiLevelType w:val="multilevel"/>
    <w:tmpl w:val="80AFABDE"/>
    <w:lvl w:ilvl="0" w:tentative="0">
      <w:start w:val="1"/>
      <w:numFmt w:val="none"/>
      <w:pStyle w:val="55"/>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56"/>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86D2B2AC"/>
    <w:multiLevelType w:val="multilevel"/>
    <w:tmpl w:val="86D2B2AC"/>
    <w:lvl w:ilvl="0" w:tentative="0">
      <w:start w:val="1"/>
      <w:numFmt w:val="lowerLetter"/>
      <w:pStyle w:val="58"/>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59"/>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57"/>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9C005A04"/>
    <w:multiLevelType w:val="multilevel"/>
    <w:tmpl w:val="9C005A04"/>
    <w:lvl w:ilvl="0" w:tentative="0">
      <w:start w:val="1"/>
      <w:numFmt w:val="decimal"/>
      <w:pStyle w:val="103"/>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ACCFCFC3"/>
    <w:multiLevelType w:val="multilevel"/>
    <w:tmpl w:val="ACCFCFC3"/>
    <w:lvl w:ilvl="0" w:tentative="0">
      <w:start w:val="1"/>
      <w:numFmt w:val="decimal"/>
      <w:pStyle w:val="111"/>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BC4A2450"/>
    <w:multiLevelType w:val="multilevel"/>
    <w:tmpl w:val="BC4A2450"/>
    <w:lvl w:ilvl="0" w:tentative="0">
      <w:start w:val="1"/>
      <w:numFmt w:val="upperLetter"/>
      <w:pStyle w:val="97"/>
      <w:lvlText w:val="%1"/>
      <w:lvlJc w:val="left"/>
      <w:pPr>
        <w:tabs>
          <w:tab w:val="left" w:pos="0"/>
        </w:tabs>
        <w:ind w:left="0" w:leftChars="0" w:firstLine="0" w:firstLineChars="0"/>
      </w:pPr>
      <w:rPr>
        <w:rFonts w:hint="default"/>
      </w:rPr>
    </w:lvl>
    <w:lvl w:ilvl="1" w:tentative="0">
      <w:start w:val="1"/>
      <w:numFmt w:val="decimal"/>
      <w:pStyle w:val="98"/>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BE3C0FC1"/>
    <w:multiLevelType w:val="multilevel"/>
    <w:tmpl w:val="BE3C0FC1"/>
    <w:lvl w:ilvl="0" w:tentative="0">
      <w:start w:val="1"/>
      <w:numFmt w:val="decimal"/>
      <w:pStyle w:val="112"/>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6">
    <w:nsid w:val="BFF882FD"/>
    <w:multiLevelType w:val="multilevel"/>
    <w:tmpl w:val="BFF882FD"/>
    <w:lvl w:ilvl="0" w:tentative="0">
      <w:start w:val="1"/>
      <w:numFmt w:val="none"/>
      <w:pStyle w:val="104"/>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D0333B3C"/>
    <w:multiLevelType w:val="multilevel"/>
    <w:tmpl w:val="D0333B3C"/>
    <w:lvl w:ilvl="0" w:tentative="0">
      <w:start w:val="1"/>
      <w:numFmt w:val="decimal"/>
      <w:pStyle w:val="16"/>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EE1B5086"/>
    <w:multiLevelType w:val="multilevel"/>
    <w:tmpl w:val="EE1B5086"/>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9">
    <w:nsid w:val="20B1DF6A"/>
    <w:multiLevelType w:val="multilevel"/>
    <w:tmpl w:val="20B1DF6A"/>
    <w:lvl w:ilvl="0" w:tentative="0">
      <w:start w:val="1"/>
      <w:numFmt w:val="upperLetter"/>
      <w:pStyle w:val="99"/>
      <w:lvlText w:val="%1"/>
      <w:lvlJc w:val="left"/>
      <w:pPr>
        <w:tabs>
          <w:tab w:val="left" w:pos="0"/>
        </w:tabs>
        <w:ind w:left="0" w:leftChars="0" w:firstLine="0" w:firstLineChars="0"/>
      </w:pPr>
      <w:rPr>
        <w:rFonts w:hint="default"/>
      </w:rPr>
    </w:lvl>
    <w:lvl w:ilvl="1" w:tentative="0">
      <w:start w:val="1"/>
      <w:numFmt w:val="decimal"/>
      <w:pStyle w:val="100"/>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0">
    <w:nsid w:val="380D6B58"/>
    <w:multiLevelType w:val="multilevel"/>
    <w:tmpl w:val="380D6B58"/>
    <w:lvl w:ilvl="0" w:tentative="0">
      <w:start w:val="1"/>
      <w:numFmt w:val="lowerLetter"/>
      <w:pStyle w:val="106"/>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4EA3ED84"/>
    <w:multiLevelType w:val="multilevel"/>
    <w:tmpl w:val="4EA3ED84"/>
    <w:lvl w:ilvl="0" w:tentative="0">
      <w:start w:val="1"/>
      <w:numFmt w:val="none"/>
      <w:pStyle w:val="102"/>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523F0EEA"/>
    <w:multiLevelType w:val="multilevel"/>
    <w:tmpl w:val="523F0EEA"/>
    <w:lvl w:ilvl="0" w:tentative="0">
      <w:start w:val="1"/>
      <w:numFmt w:val="decimal"/>
      <w:pStyle w:val="105"/>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557C2AF5"/>
    <w:multiLevelType w:val="multilevel"/>
    <w:tmpl w:val="557C2AF5"/>
    <w:lvl w:ilvl="0" w:tentative="0">
      <w:start w:val="1"/>
      <w:numFmt w:val="decimal"/>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4">
    <w:nsid w:val="5AFA2C5F"/>
    <w:multiLevelType w:val="multilevel"/>
    <w:tmpl w:val="5AFA2C5F"/>
    <w:lvl w:ilvl="0" w:tentative="0">
      <w:start w:val="1"/>
      <w:numFmt w:val="none"/>
      <w:pStyle w:val="53"/>
      <w:suff w:val="nothing"/>
      <w:lvlText w:val="%1"/>
      <w:lvlJc w:val="left"/>
      <w:pPr>
        <w:ind w:left="425" w:leftChars="0" w:hanging="425" w:firstLineChars="0"/>
      </w:pPr>
      <w:rPr>
        <w:rFonts w:hint="default"/>
      </w:rPr>
    </w:lvl>
    <w:lvl w:ilvl="1" w:tentative="0">
      <w:start w:val="1"/>
      <w:numFmt w:val="decimal"/>
      <w:pStyle w:val="60"/>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1"/>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2"/>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3"/>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4"/>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pStyle w:val="7"/>
      <w:suff w:val="nothing"/>
      <w:lvlText w:val="%7．"/>
      <w:lvlJc w:val="left"/>
      <w:pPr>
        <w:ind w:left="0" w:firstLine="402"/>
      </w:pPr>
      <w:rPr>
        <w:rFonts w:hint="eastAsia"/>
      </w:rPr>
    </w:lvl>
    <w:lvl w:ilvl="7" w:tentative="0">
      <w:start w:val="1"/>
      <w:numFmt w:val="lowerLetter"/>
      <w:pStyle w:val="8"/>
      <w:suff w:val="nothing"/>
      <w:lvlText w:val="%8）"/>
      <w:lvlJc w:val="left"/>
      <w:pPr>
        <w:ind w:left="0" w:firstLine="402"/>
      </w:pPr>
      <w:rPr>
        <w:rFonts w:hint="eastAsia"/>
      </w:rPr>
    </w:lvl>
    <w:lvl w:ilvl="8" w:tentative="0">
      <w:start w:val="1"/>
      <w:numFmt w:val="lowerRoman"/>
      <w:pStyle w:val="9"/>
      <w:suff w:val="nothing"/>
      <w:lvlText w:val="%9 "/>
      <w:lvlJc w:val="left"/>
      <w:pPr>
        <w:ind w:left="0" w:firstLine="402"/>
      </w:pPr>
      <w:rPr>
        <w:rFonts w:hint="eastAsia"/>
      </w:rPr>
    </w:lvl>
  </w:abstractNum>
  <w:abstractNum w:abstractNumId="15">
    <w:nsid w:val="646260FA"/>
    <w:multiLevelType w:val="multilevel"/>
    <w:tmpl w:val="646260FA"/>
    <w:lvl w:ilvl="0" w:tentative="0">
      <w:start w:val="1"/>
      <w:numFmt w:val="decimal"/>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66F0255B"/>
    <w:multiLevelType w:val="multilevel"/>
    <w:tmpl w:val="66F0255B"/>
    <w:lvl w:ilvl="0" w:tentative="0">
      <w:start w:val="1"/>
      <w:numFmt w:val="upperLetter"/>
      <w:pStyle w:val="86"/>
      <w:suff w:val="nothing"/>
      <w:lvlText w:val="附录%1"/>
      <w:lvlJc w:val="left"/>
      <w:pPr>
        <w:ind w:left="0" w:leftChars="0" w:firstLine="0" w:firstLineChars="0"/>
      </w:pPr>
      <w:rPr>
        <w:rFonts w:hint="default"/>
        <w:spacing w:val="102"/>
      </w:rPr>
    </w:lvl>
    <w:lvl w:ilvl="1" w:tentative="0">
      <w:start w:val="1"/>
      <w:numFmt w:val="decimal"/>
      <w:pStyle w:val="87"/>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88"/>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89"/>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0"/>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1"/>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7">
    <w:nsid w:val="67EEA37B"/>
    <w:multiLevelType w:val="multilevel"/>
    <w:tmpl w:val="67EEA37B"/>
    <w:lvl w:ilvl="0" w:tentative="0">
      <w:start w:val="1"/>
      <w:numFmt w:val="decimal"/>
      <w:pStyle w:val="117"/>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8">
    <w:nsid w:val="705D31E5"/>
    <w:multiLevelType w:val="multilevel"/>
    <w:tmpl w:val="705D31E5"/>
    <w:lvl w:ilvl="0" w:tentative="0">
      <w:start w:val="1"/>
      <w:numFmt w:val="decimal"/>
      <w:pStyle w:val="70"/>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1"/>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2"/>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3"/>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4"/>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5"/>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8"/>
  </w:num>
  <w:num w:numId="2">
    <w:abstractNumId w:val="4"/>
  </w:num>
  <w:num w:numId="3">
    <w:abstractNumId w:val="14"/>
  </w:num>
  <w:num w:numId="4">
    <w:abstractNumId w:val="7"/>
  </w:num>
  <w:num w:numId="5">
    <w:abstractNumId w:val="0"/>
  </w:num>
  <w:num w:numId="6">
    <w:abstractNumId w:val="1"/>
  </w:num>
  <w:num w:numId="7">
    <w:abstractNumId w:val="18"/>
  </w:num>
  <w:num w:numId="8">
    <w:abstractNumId w:val="16"/>
  </w:num>
  <w:num w:numId="9">
    <w:abstractNumId w:val="9"/>
  </w:num>
  <w:num w:numId="10">
    <w:abstractNumId w:val="11"/>
  </w:num>
  <w:num w:numId="11">
    <w:abstractNumId w:val="2"/>
  </w:num>
  <w:num w:numId="12">
    <w:abstractNumId w:val="6"/>
  </w:num>
  <w:num w:numId="13">
    <w:abstractNumId w:val="12"/>
  </w:num>
  <w:num w:numId="14">
    <w:abstractNumId w:val="10"/>
  </w:num>
  <w:num w:numId="15">
    <w:abstractNumId w:val="3"/>
  </w:num>
  <w:num w:numId="16">
    <w:abstractNumId w:val="5"/>
  </w:num>
  <w:num w:numId="17">
    <w:abstractNumId w:val="17"/>
  </w:num>
  <w:num w:numId="18">
    <w:abstractNumId w:val="1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E541D"/>
    <w:rsid w:val="0FBE541D"/>
    <w:rsid w:val="16C33837"/>
    <w:rsid w:val="1A321740"/>
    <w:rsid w:val="22723990"/>
    <w:rsid w:val="26081B3A"/>
    <w:rsid w:val="3A30294F"/>
    <w:rsid w:val="6E4D43F7"/>
    <w:rsid w:val="757B655A"/>
    <w:rsid w:val="DBB341A6"/>
    <w:rsid w:val="F6AE4E97"/>
    <w:rsid w:val="FCEE6059"/>
    <w:rsid w:val="FFFFFF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b/>
      <w:color w:val="auto"/>
      <w:kern w:val="2"/>
      <w:sz w:val="21"/>
      <w:szCs w:val="22"/>
      <w:lang w:val="en-US" w:eastAsia="zh-CN" w:bidi="ar-SA"/>
    </w:rPr>
  </w:style>
  <w:style w:type="paragraph" w:styleId="2">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val="0"/>
      <w:sz w:val="32"/>
    </w:rPr>
  </w:style>
  <w:style w:type="paragraph" w:styleId="3">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val="0"/>
      <w:sz w:val="32"/>
    </w:rPr>
  </w:style>
  <w:style w:type="paragraph" w:styleId="4">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val="0"/>
      <w:sz w:val="28"/>
    </w:rPr>
  </w:style>
  <w:style w:type="paragraph" w:styleId="5">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val="0"/>
      <w:sz w:val="28"/>
    </w:rPr>
  </w:style>
  <w:style w:type="paragraph" w:styleId="6">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val="0"/>
      <w:sz w:val="24"/>
    </w:rPr>
  </w:style>
  <w:style w:type="paragraph" w:styleId="7">
    <w:name w:val="heading 7"/>
    <w:basedOn w:val="1"/>
    <w:next w:val="1"/>
    <w:semiHidden/>
    <w:unhideWhenUsed/>
    <w:qFormat/>
    <w:uiPriority w:val="0"/>
    <w:pPr>
      <w:keepNext/>
      <w:keepLines/>
      <w:numPr>
        <w:ilvl w:val="6"/>
        <w:numId w:val="3"/>
      </w:numPr>
      <w:spacing w:before="240" w:beforeLines="0" w:beforeAutospacing="0" w:after="64" w:afterLines="0" w:afterAutospacing="0" w:line="317" w:lineRule="auto"/>
      <w:ind w:left="0" w:firstLine="402"/>
      <w:outlineLvl w:val="6"/>
    </w:pPr>
    <w:rPr>
      <w:b w:val="0"/>
      <w:sz w:val="24"/>
    </w:rPr>
  </w:style>
  <w:style w:type="paragraph" w:styleId="8">
    <w:name w:val="heading 8"/>
    <w:basedOn w:val="1"/>
    <w:next w:val="1"/>
    <w:semiHidden/>
    <w:unhideWhenUsed/>
    <w:qFormat/>
    <w:uiPriority w:val="0"/>
    <w:pPr>
      <w:keepNext/>
      <w:keepLines/>
      <w:numPr>
        <w:ilvl w:val="7"/>
        <w:numId w:val="3"/>
      </w:numPr>
      <w:spacing w:before="240" w:beforeLines="0" w:beforeAutospacing="0" w:after="64" w:afterLines="0" w:afterAutospacing="0" w:line="317" w:lineRule="auto"/>
      <w:ind w:left="0" w:firstLine="402"/>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3"/>
      </w:numPr>
      <w:spacing w:before="240" w:beforeLines="0" w:beforeAutospacing="0" w:after="64" w:afterLines="0" w:afterAutospacing="0" w:line="317" w:lineRule="auto"/>
      <w:ind w:left="0" w:firstLine="402"/>
      <w:outlineLvl w:val="8"/>
    </w:pPr>
    <w:rPr>
      <w:rFonts w:ascii="Arial" w:hAnsi="Arial" w:eastAsia="黑体"/>
      <w:sz w:val="21"/>
    </w:rPr>
  </w:style>
  <w:style w:type="character" w:default="1" w:styleId="21">
    <w:name w:val="Default Paragraph Font"/>
    <w:semiHidden/>
    <w:qFormat/>
    <w:uiPriority w:val="0"/>
    <w:rPr>
      <w:rFonts w:hint="eastAsia" w:ascii="宋体" w:hAnsi="Times New Roman" w:eastAsia="宋体" w:cs="Times New Roman"/>
      <w:sz w:val="21"/>
    </w:rPr>
  </w:style>
  <w:style w:type="table" w:default="1" w:styleId="19">
    <w:name w:val="Normal Table"/>
    <w:semiHidden/>
    <w:qFormat/>
    <w:uiPriority w:val="0"/>
    <w:tblPr>
      <w:tblCellMar>
        <w:top w:w="0" w:type="dxa"/>
        <w:left w:w="108" w:type="dxa"/>
        <w:bottom w:w="0" w:type="dxa"/>
        <w:right w:w="108" w:type="dxa"/>
      </w:tblCellMar>
    </w:tblPr>
  </w:style>
  <w:style w:type="paragraph" w:styleId="10">
    <w:name w:val="toc 5"/>
    <w:basedOn w:val="1"/>
    <w:next w:val="1"/>
    <w:qFormat/>
    <w:uiPriority w:val="0"/>
    <w:pPr>
      <w:spacing w:line="300" w:lineRule="exact"/>
      <w:ind w:left="1680" w:leftChars="800"/>
    </w:pPr>
    <w:rPr>
      <w:rFonts w:hAnsi="宋体"/>
    </w:rPr>
  </w:style>
  <w:style w:type="paragraph" w:styleId="11">
    <w:name w:val="toc 3"/>
    <w:basedOn w:val="1"/>
    <w:next w:val="1"/>
    <w:qFormat/>
    <w:uiPriority w:val="0"/>
    <w:pPr>
      <w:spacing w:line="300" w:lineRule="exact"/>
      <w:ind w:left="840" w:leftChars="400"/>
    </w:pPr>
    <w:rPr>
      <w:rFonts w:hAnsi="宋体"/>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line="400" w:lineRule="exact"/>
    </w:pPr>
    <w:rPr>
      <w:rFonts w:hAnsi="宋体"/>
    </w:rPr>
  </w:style>
  <w:style w:type="paragraph" w:styleId="15">
    <w:name w:val="toc 4"/>
    <w:basedOn w:val="1"/>
    <w:next w:val="1"/>
    <w:qFormat/>
    <w:uiPriority w:val="0"/>
    <w:pPr>
      <w:spacing w:line="300" w:lineRule="exact"/>
      <w:ind w:left="1260" w:leftChars="600"/>
    </w:pPr>
    <w:rPr>
      <w:rFonts w:hAnsi="宋体"/>
    </w:rPr>
  </w:style>
  <w:style w:type="paragraph" w:styleId="16">
    <w:name w:val="footnote text"/>
    <w:basedOn w:val="1"/>
    <w:qFormat/>
    <w:uiPriority w:val="0"/>
    <w:pPr>
      <w:widowControl/>
      <w:numPr>
        <w:ilvl w:val="0"/>
        <w:numId w:val="4"/>
      </w:numPr>
      <w:autoSpaceDE w:val="0"/>
      <w:autoSpaceDN w:val="0"/>
      <w:snapToGrid/>
      <w:ind w:left="1380" w:leftChars="200" w:hanging="960" w:hangingChars="200"/>
      <w:jc w:val="both"/>
    </w:pPr>
    <w:rPr>
      <w:rFonts w:hAnsi="宋体"/>
      <w:sz w:val="15"/>
    </w:rPr>
  </w:style>
  <w:style w:type="paragraph" w:styleId="17">
    <w:name w:val="toc 6"/>
    <w:basedOn w:val="1"/>
    <w:next w:val="1"/>
    <w:qFormat/>
    <w:uiPriority w:val="0"/>
    <w:pPr>
      <w:spacing w:line="300" w:lineRule="exact"/>
      <w:ind w:left="2100" w:leftChars="1000"/>
    </w:pPr>
    <w:rPr>
      <w:rFonts w:hAnsi="宋体"/>
    </w:rPr>
  </w:style>
  <w:style w:type="paragraph" w:styleId="18">
    <w:name w:val="toc 2"/>
    <w:basedOn w:val="1"/>
    <w:next w:val="1"/>
    <w:qFormat/>
    <w:uiPriority w:val="0"/>
    <w:pPr>
      <w:spacing w:line="300" w:lineRule="exact"/>
      <w:ind w:left="420" w:leftChars="200"/>
    </w:pPr>
    <w:rPr>
      <w:rFonts w:hAnsi="宋体"/>
    </w:rPr>
  </w:style>
  <w:style w:type="table" w:styleId="20">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footnote reference"/>
    <w:basedOn w:val="21"/>
    <w:qFormat/>
    <w:uiPriority w:val="0"/>
    <w:rPr>
      <w:rFonts w:hAnsi="宋体" w:cs="宋体"/>
      <w:sz w:val="18"/>
      <w:vertAlign w:val="superscript"/>
    </w:rPr>
  </w:style>
  <w:style w:type="paragraph" w:customStyle="1" w:styleId="23">
    <w:name w:val="标准文件_段"/>
    <w:qFormat/>
    <w:uiPriority w:val="0"/>
    <w:pPr>
      <w:ind w:firstLine="960" w:firstLineChars="200"/>
      <w:jc w:val="both"/>
    </w:pPr>
    <w:rPr>
      <w:rFonts w:hint="eastAsia" w:ascii="宋体" w:hAnsi="Times New Roman" w:eastAsia="宋体" w:cs="宋体"/>
      <w:sz w:val="21"/>
    </w:rPr>
  </w:style>
  <w:style w:type="paragraph" w:customStyle="1" w:styleId="24">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5">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26">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27">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28">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29">
    <w:name w:val="标准书脚_奇数页"/>
    <w:qFormat/>
    <w:uiPriority w:val="0"/>
    <w:pPr>
      <w:ind w:right="227"/>
      <w:jc w:val="right"/>
    </w:pPr>
    <w:rPr>
      <w:rFonts w:hint="eastAsia" w:ascii="宋体" w:hAnsi="Times New Roman" w:eastAsia="宋体" w:cs="宋体"/>
      <w:sz w:val="18"/>
    </w:rPr>
  </w:style>
  <w:style w:type="paragraph" w:customStyle="1" w:styleId="30">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1">
    <w:name w:val="标准书眉_偶数页"/>
    <w:next w:val="1"/>
    <w:qFormat/>
    <w:uiPriority w:val="0"/>
    <w:pPr>
      <w:spacing w:after="120"/>
    </w:pPr>
    <w:rPr>
      <w:rFonts w:hint="eastAsia" w:ascii="黑体" w:hAnsi="Times New Roman" w:eastAsia="黑体" w:cs="黑体"/>
      <w:sz w:val="21"/>
    </w:rPr>
  </w:style>
  <w:style w:type="paragraph" w:customStyle="1" w:styleId="32">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3">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4">
    <w:name w:val="发布部门"/>
    <w:next w:val="23"/>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5">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36">
    <w:name w:val="实施日期"/>
    <w:basedOn w:val="35"/>
    <w:qFormat/>
    <w:uiPriority w:val="0"/>
    <w:pPr>
      <w:framePr w:hSpace="0" w:vAnchor="page" w:hAnchor="page" w:x="7089" w:y="14176"/>
      <w:jc w:val="right"/>
    </w:pPr>
  </w:style>
  <w:style w:type="paragraph" w:customStyle="1" w:styleId="37">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38">
    <w:name w:val="封面标准代替信息"/>
    <w:qFormat/>
    <w:uiPriority w:val="0"/>
    <w:pPr>
      <w:framePr w:w="9355" w:h="624" w:hRule="exact" w:hSpace="181" w:vSpace="181" w:wrap="around" w:vAnchor="page" w:hAnchor="page" w:x="1419" w:y="3284"/>
      <w:spacing w:before="57" w:line="280" w:lineRule="exact"/>
      <w:jc w:val="right"/>
    </w:pPr>
    <w:rPr>
      <w:rFonts w:hint="eastAsia" w:ascii="宋体" w:hAnsi="Times New Roman" w:eastAsia="宋体" w:cs="Times New Roman"/>
      <w:sz w:val="21"/>
    </w:rPr>
  </w:style>
  <w:style w:type="paragraph" w:customStyle="1" w:styleId="39">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0">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1">
    <w:name w:val="封面标准英文名称"/>
    <w:basedOn w:val="40"/>
    <w:qFormat/>
    <w:uiPriority w:val="0"/>
    <w:pPr>
      <w:widowControl w:val="0"/>
      <w:spacing w:before="410" w:line="360" w:lineRule="exact"/>
      <w:textAlignment w:val="bottom"/>
    </w:pPr>
    <w:rPr>
      <w:rFonts w:ascii="Times New Roman" w:hAnsi="Times New Roman" w:cs="Times New Roman"/>
      <w:sz w:val="28"/>
    </w:rPr>
  </w:style>
  <w:style w:type="paragraph" w:customStyle="1" w:styleId="42">
    <w:name w:val="封面一致性程度标识"/>
    <w:basedOn w:val="41"/>
    <w:qFormat/>
    <w:uiPriority w:val="0"/>
    <w:pPr>
      <w:spacing w:before="760"/>
    </w:pPr>
  </w:style>
  <w:style w:type="paragraph" w:customStyle="1" w:styleId="43">
    <w:name w:val="封面标准文稿类别"/>
    <w:basedOn w:val="42"/>
    <w:qFormat/>
    <w:uiPriority w:val="0"/>
    <w:pPr>
      <w:spacing w:before="440" w:after="160"/>
    </w:pPr>
    <w:rPr>
      <w:rFonts w:ascii="宋体" w:hAnsi="宋体" w:eastAsia="宋体" w:cs="宋体"/>
      <w:sz w:val="24"/>
    </w:rPr>
  </w:style>
  <w:style w:type="paragraph" w:customStyle="1" w:styleId="44">
    <w:name w:val="封面标准文稿编辑信息"/>
    <w:basedOn w:val="43"/>
    <w:qFormat/>
    <w:uiPriority w:val="0"/>
    <w:pPr>
      <w:spacing w:before="180" w:line="240" w:lineRule="atLeast"/>
    </w:pPr>
    <w:rPr>
      <w:sz w:val="21"/>
    </w:rPr>
  </w:style>
  <w:style w:type="paragraph" w:customStyle="1" w:styleId="45">
    <w:name w:val="封面标准文稿附件"/>
    <w:basedOn w:val="43"/>
    <w:qFormat/>
    <w:uiPriority w:val="0"/>
    <w:pPr>
      <w:spacing w:before="937" w:beforeLines="300" w:afterLines="30" w:line="240" w:lineRule="auto"/>
    </w:pPr>
    <w:rPr>
      <w:rFonts w:ascii="Times New Roman" w:hAnsi="Times New Roman" w:cs="Times New Roman"/>
      <w:b/>
      <w:sz w:val="21"/>
    </w:rPr>
  </w:style>
  <w:style w:type="paragraph" w:customStyle="1" w:styleId="46">
    <w:name w:val="其他发布部门"/>
    <w:basedOn w:val="34"/>
    <w:qFormat/>
    <w:uiPriority w:val="0"/>
    <w:pPr>
      <w:framePr w:y="15310"/>
      <w:spacing w:line="0" w:lineRule="atLeast"/>
    </w:pPr>
    <w:rPr>
      <w:rFonts w:ascii="黑体" w:hAnsi="黑体" w:eastAsia="黑体" w:cs="黑体"/>
    </w:rPr>
  </w:style>
  <w:style w:type="paragraph" w:customStyle="1" w:styleId="47">
    <w:name w:val="其他发布部门2"/>
    <w:basedOn w:val="34"/>
    <w:qFormat/>
    <w:uiPriority w:val="0"/>
    <w:pPr>
      <w:framePr w:w="7433" w:h="584" w:hRule="exact" w:hSpace="181" w:vAnchor="margin" w:hAnchor="margin" w:xAlign="center" w:y="15027"/>
      <w:spacing w:line="0" w:lineRule="atLeast"/>
    </w:pPr>
    <w:rPr>
      <w:rFonts w:ascii="黑体" w:hAnsi="黑体" w:eastAsia="黑体" w:cs="Times New Roman"/>
      <w:spacing w:val="0"/>
      <w:w w:val="100"/>
    </w:rPr>
  </w:style>
  <w:style w:type="paragraph" w:customStyle="1" w:styleId="48">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49">
    <w:name w:val="其他发布日期"/>
    <w:basedOn w:val="35"/>
    <w:qFormat/>
    <w:uiPriority w:val="0"/>
    <w:pPr>
      <w:framePr w:hSpace="0" w:vAnchor="page" w:hAnchor="page" w:x="1419" w:y="14176"/>
    </w:pPr>
  </w:style>
  <w:style w:type="paragraph" w:customStyle="1" w:styleId="50">
    <w:name w:val="其他实施日期"/>
    <w:basedOn w:val="36"/>
    <w:qFormat/>
    <w:uiPriority w:val="0"/>
  </w:style>
  <w:style w:type="paragraph" w:customStyle="1" w:styleId="51">
    <w:name w:val="文献分类号"/>
    <w:qFormat/>
    <w:uiPriority w:val="0"/>
    <w:pPr>
      <w:framePr w:wrap="around" w:vAnchor="page" w:hAnchor="page" w:x="1373" w:y="568"/>
      <w:widowControl w:val="0"/>
      <w:textAlignment w:val="center"/>
    </w:pPr>
    <w:rPr>
      <w:rFonts w:hint="eastAsia" w:ascii="Times New Roman" w:hAnsi="Times New Roman" w:eastAsia="黑体" w:cs="Times New Roman"/>
      <w:kern w:val="21"/>
      <w:sz w:val="21"/>
    </w:rPr>
  </w:style>
  <w:style w:type="paragraph" w:customStyle="1" w:styleId="52">
    <w:name w:val="标准文件_目录标题"/>
    <w:basedOn w:val="1"/>
    <w:qFormat/>
    <w:uiPriority w:val="0"/>
    <w:pPr>
      <w:shd w:val="clear" w:fill="FFFFFF"/>
      <w:spacing w:after="469" w:afterLines="150"/>
      <w:jc w:val="center"/>
    </w:pPr>
    <w:rPr>
      <w:rFonts w:ascii="黑体" w:hAnsi="Times New Roman" w:eastAsia="黑体" w:cs="黑体"/>
      <w:kern w:val="0"/>
      <w:sz w:val="32"/>
    </w:rPr>
  </w:style>
  <w:style w:type="paragraph" w:customStyle="1" w:styleId="53">
    <w:name w:val="标准文件_前言、引言标题"/>
    <w:next w:val="1"/>
    <w:qFormat/>
    <w:uiPriority w:val="0"/>
    <w:pPr>
      <w:numPr>
        <w:ilvl w:val="0"/>
        <w:numId w:val="3"/>
      </w:numPr>
      <w:suppressAutoHyphens w:val="0"/>
      <w:spacing w:after="469" w:afterLines="150"/>
      <w:ind w:left="0" w:firstLine="0"/>
      <w:jc w:val="center"/>
      <w:outlineLvl w:val="0"/>
    </w:pPr>
    <w:rPr>
      <w:rFonts w:hint="eastAsia" w:ascii="黑体" w:hAnsi="Times New Roman" w:eastAsia="黑体" w:cs="黑体"/>
      <w:sz w:val="32"/>
    </w:rPr>
  </w:style>
  <w:style w:type="paragraph" w:customStyle="1" w:styleId="54">
    <w:name w:val="标准文件_正文标准名称"/>
    <w:basedOn w:val="1"/>
    <w:link w:val="118"/>
    <w:qFormat/>
    <w:uiPriority w:val="0"/>
    <w:pPr>
      <w:widowControl/>
      <w:suppressAutoHyphens w:val="0"/>
      <w:spacing w:before="569" w:beforeLines="182" w:after="687" w:afterLines="220" w:line="400" w:lineRule="exact"/>
      <w:jc w:val="center"/>
    </w:pPr>
    <w:rPr>
      <w:rFonts w:ascii="黑体" w:hAnsi="黑体" w:eastAsia="黑体" w:cs="黑体"/>
      <w:sz w:val="32"/>
    </w:rPr>
  </w:style>
  <w:style w:type="paragraph" w:customStyle="1" w:styleId="55">
    <w:name w:val="标准文件_一级项"/>
    <w:next w:val="23"/>
    <w:qFormat/>
    <w:uiPriority w:val="0"/>
    <w:pPr>
      <w:numPr>
        <w:ilvl w:val="0"/>
        <w:numId w:val="5"/>
      </w:numPr>
      <w:suppressAutoHyphens w:val="0"/>
      <w:ind w:left="851" w:hanging="426"/>
    </w:pPr>
    <w:rPr>
      <w:rFonts w:hint="eastAsia" w:ascii="宋体" w:hAnsi="Times New Roman" w:eastAsia="宋体" w:cs="宋体"/>
      <w:sz w:val="21"/>
    </w:rPr>
  </w:style>
  <w:style w:type="paragraph" w:customStyle="1" w:styleId="56">
    <w:name w:val="标准文件_二级项2"/>
    <w:basedOn w:val="23"/>
    <w:next w:val="23"/>
    <w:qFormat/>
    <w:uiPriority w:val="0"/>
    <w:pPr>
      <w:numPr>
        <w:ilvl w:val="1"/>
        <w:numId w:val="5"/>
      </w:numPr>
      <w:suppressAutoHyphens w:val="0"/>
      <w:ind w:left="1270" w:hanging="419"/>
    </w:pPr>
    <w:rPr>
      <w:rFonts w:hint="eastAsia" w:ascii="宋体" w:hAnsi="Times New Roman" w:eastAsia="宋体" w:cs="Times New Roman"/>
      <w:sz w:val="21"/>
    </w:rPr>
  </w:style>
  <w:style w:type="paragraph" w:customStyle="1" w:styleId="57">
    <w:name w:val="标准文件_三级项"/>
    <w:basedOn w:val="1"/>
    <w:next w:val="23"/>
    <w:qFormat/>
    <w:uiPriority w:val="0"/>
    <w:pPr>
      <w:numPr>
        <w:ilvl w:val="2"/>
        <w:numId w:val="6"/>
      </w:numPr>
      <w:suppressAutoHyphens w:val="0"/>
      <w:spacing w:line="300" w:lineRule="exact"/>
      <w:ind w:left="1678" w:hanging="414"/>
    </w:pPr>
    <w:rPr>
      <w:rFonts w:hAnsi="+西文正文"/>
    </w:rPr>
  </w:style>
  <w:style w:type="paragraph" w:customStyle="1" w:styleId="58">
    <w:name w:val="标准文件_字母编号列项（一级）"/>
    <w:next w:val="23"/>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59">
    <w:name w:val="标准文件_数字编号列项（二级）"/>
    <w:next w:val="23"/>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60">
    <w:name w:val="标准文件_引言一级条标题"/>
    <w:basedOn w:val="23"/>
    <w:next w:val="23"/>
    <w:qFormat/>
    <w:uiPriority w:val="0"/>
    <w:pPr>
      <w:numPr>
        <w:ilvl w:val="1"/>
        <w:numId w:val="3"/>
      </w:numPr>
      <w:spacing w:before="157" w:beforeLines="50" w:after="157" w:afterLines="50"/>
    </w:pPr>
    <w:rPr>
      <w:rFonts w:ascii="黑体" w:hAnsi="黑体" w:eastAsia="黑体" w:cs="黑体"/>
    </w:rPr>
  </w:style>
  <w:style w:type="paragraph" w:customStyle="1" w:styleId="61">
    <w:name w:val="标准文件_引言二级条标题"/>
    <w:basedOn w:val="23"/>
    <w:next w:val="23"/>
    <w:qFormat/>
    <w:uiPriority w:val="0"/>
    <w:pPr>
      <w:numPr>
        <w:ilvl w:val="2"/>
        <w:numId w:val="3"/>
      </w:numPr>
      <w:spacing w:before="157" w:beforeLines="50" w:after="157" w:afterLines="50"/>
    </w:pPr>
    <w:rPr>
      <w:rFonts w:ascii="黑体" w:hAnsi="黑体" w:eastAsia="黑体" w:cs="黑体"/>
    </w:rPr>
  </w:style>
  <w:style w:type="paragraph" w:customStyle="1" w:styleId="62">
    <w:name w:val="标准文件_引言三级条标题"/>
    <w:basedOn w:val="23"/>
    <w:next w:val="23"/>
    <w:qFormat/>
    <w:uiPriority w:val="0"/>
    <w:pPr>
      <w:numPr>
        <w:ilvl w:val="3"/>
        <w:numId w:val="3"/>
      </w:numPr>
      <w:spacing w:before="157" w:beforeLines="50" w:after="157" w:afterLines="50"/>
    </w:pPr>
    <w:rPr>
      <w:rFonts w:ascii="黑体" w:hAnsi="黑体" w:eastAsia="黑体" w:cs="黑体"/>
    </w:rPr>
  </w:style>
  <w:style w:type="paragraph" w:customStyle="1" w:styleId="63">
    <w:name w:val="标准文件_引言四级条标题"/>
    <w:basedOn w:val="23"/>
    <w:next w:val="23"/>
    <w:qFormat/>
    <w:uiPriority w:val="0"/>
    <w:pPr>
      <w:numPr>
        <w:ilvl w:val="4"/>
        <w:numId w:val="3"/>
      </w:numPr>
      <w:spacing w:before="157" w:beforeLines="50" w:after="157" w:afterLines="50"/>
    </w:pPr>
    <w:rPr>
      <w:rFonts w:ascii="黑体" w:hAnsi="黑体" w:eastAsia="黑体" w:cs="黑体"/>
    </w:rPr>
  </w:style>
  <w:style w:type="paragraph" w:customStyle="1" w:styleId="64">
    <w:name w:val="标准文件_引言五级条标题"/>
    <w:basedOn w:val="23"/>
    <w:next w:val="23"/>
    <w:qFormat/>
    <w:uiPriority w:val="0"/>
    <w:pPr>
      <w:numPr>
        <w:ilvl w:val="5"/>
        <w:numId w:val="3"/>
      </w:numPr>
      <w:spacing w:before="157" w:beforeLines="50" w:after="157" w:afterLines="50"/>
    </w:pPr>
    <w:rPr>
      <w:rFonts w:ascii="黑体" w:hAnsi="黑体" w:eastAsia="黑体" w:cs="黑体"/>
    </w:rPr>
  </w:style>
  <w:style w:type="paragraph" w:customStyle="1" w:styleId="65">
    <w:name w:val="标准文件_引言一级无标题"/>
    <w:basedOn w:val="60"/>
    <w:next w:val="23"/>
    <w:qFormat/>
    <w:uiPriority w:val="0"/>
    <w:pPr>
      <w:spacing w:before="4" w:beforeLines="1" w:after="4" w:afterLines="1" w:line="276" w:lineRule="auto"/>
    </w:pPr>
    <w:rPr>
      <w:rFonts w:ascii="宋体" w:hAnsi="宋体" w:eastAsia="宋体" w:cs="宋体"/>
    </w:rPr>
  </w:style>
  <w:style w:type="paragraph" w:customStyle="1" w:styleId="66">
    <w:name w:val="标准文件_引言二级无标题"/>
    <w:basedOn w:val="61"/>
    <w:next w:val="23"/>
    <w:qFormat/>
    <w:uiPriority w:val="0"/>
    <w:pPr>
      <w:spacing w:before="4" w:beforeLines="1" w:after="4" w:afterLines="1" w:line="276" w:lineRule="auto"/>
    </w:pPr>
    <w:rPr>
      <w:rFonts w:ascii="宋体" w:hAnsi="宋体" w:eastAsia="宋体" w:cs="宋体"/>
    </w:rPr>
  </w:style>
  <w:style w:type="paragraph" w:customStyle="1" w:styleId="67">
    <w:name w:val="标准文件_引言三级无标题"/>
    <w:basedOn w:val="62"/>
    <w:next w:val="23"/>
    <w:qFormat/>
    <w:uiPriority w:val="0"/>
    <w:pPr>
      <w:spacing w:before="4" w:beforeLines="1" w:after="4" w:afterLines="1" w:line="276" w:lineRule="auto"/>
    </w:pPr>
    <w:rPr>
      <w:rFonts w:ascii="宋体" w:hAnsi="宋体" w:eastAsia="宋体" w:cs="宋体"/>
    </w:rPr>
  </w:style>
  <w:style w:type="paragraph" w:customStyle="1" w:styleId="68">
    <w:name w:val="标准文件_引言四级无标题"/>
    <w:basedOn w:val="63"/>
    <w:next w:val="23"/>
    <w:qFormat/>
    <w:uiPriority w:val="0"/>
    <w:pPr>
      <w:spacing w:before="4" w:beforeLines="1" w:after="4" w:afterLines="1" w:line="276" w:lineRule="auto"/>
    </w:pPr>
    <w:rPr>
      <w:rFonts w:ascii="宋体" w:hAnsi="宋体" w:eastAsia="宋体" w:cs="宋体"/>
    </w:rPr>
  </w:style>
  <w:style w:type="paragraph" w:customStyle="1" w:styleId="69">
    <w:name w:val="标准文件_引言五级无标题"/>
    <w:basedOn w:val="64"/>
    <w:next w:val="23"/>
    <w:qFormat/>
    <w:uiPriority w:val="0"/>
    <w:pPr>
      <w:spacing w:before="4" w:beforeLines="1" w:after="4" w:afterLines="1" w:line="276" w:lineRule="auto"/>
    </w:pPr>
    <w:rPr>
      <w:rFonts w:ascii="宋体" w:hAnsi="宋体" w:eastAsia="宋体" w:cs="宋体"/>
    </w:rPr>
  </w:style>
  <w:style w:type="paragraph" w:customStyle="1" w:styleId="70">
    <w:name w:val="标准文件_章标题"/>
    <w:next w:val="23"/>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1">
    <w:name w:val="标准文件_一级条标题"/>
    <w:basedOn w:val="70"/>
    <w:next w:val="23"/>
    <w:qFormat/>
    <w:uiPriority w:val="0"/>
    <w:pPr>
      <w:numPr>
        <w:ilvl w:val="1"/>
      </w:numPr>
      <w:spacing w:before="157" w:beforeLines="50" w:after="157" w:afterLines="50"/>
      <w:outlineLvl w:val="1"/>
    </w:pPr>
    <w:rPr>
      <w:rFonts w:hAnsi="Times New Roman"/>
    </w:rPr>
  </w:style>
  <w:style w:type="paragraph" w:customStyle="1" w:styleId="72">
    <w:name w:val="标准文件_二级条标题"/>
    <w:next w:val="23"/>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rPr>
  </w:style>
  <w:style w:type="paragraph" w:customStyle="1" w:styleId="73">
    <w:name w:val="标准文件_三级条标题"/>
    <w:basedOn w:val="72"/>
    <w:next w:val="23"/>
    <w:qFormat/>
    <w:uiPriority w:val="0"/>
    <w:pPr>
      <w:numPr>
        <w:ilvl w:val="3"/>
      </w:numPr>
      <w:spacing w:before="157" w:after="157"/>
      <w:outlineLvl w:val="3"/>
    </w:pPr>
  </w:style>
  <w:style w:type="paragraph" w:customStyle="1" w:styleId="74">
    <w:name w:val="标准文件_四级条标题"/>
    <w:next w:val="23"/>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5">
    <w:name w:val="标准文件_五级条标题"/>
    <w:next w:val="23"/>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6">
    <w:name w:val="标准文件_一级无标题"/>
    <w:basedOn w:val="71"/>
    <w:qFormat/>
    <w:uiPriority w:val="0"/>
    <w:pPr>
      <w:spacing w:before="4" w:beforeLines="1" w:after="4" w:afterLines="1"/>
      <w:outlineLvl w:val="9"/>
    </w:pPr>
    <w:rPr>
      <w:rFonts w:ascii="宋体" w:hAnsi="宋体" w:eastAsia="宋体" w:cs="宋体"/>
    </w:rPr>
  </w:style>
  <w:style w:type="paragraph" w:customStyle="1" w:styleId="77">
    <w:name w:val="标准文件_二级无标题"/>
    <w:basedOn w:val="72"/>
    <w:qFormat/>
    <w:uiPriority w:val="0"/>
    <w:pPr>
      <w:spacing w:before="4" w:beforeLines="1" w:after="4" w:afterLines="1"/>
      <w:outlineLvl w:val="9"/>
    </w:pPr>
    <w:rPr>
      <w:rFonts w:ascii="宋体" w:hAnsi="宋体" w:eastAsia="宋体" w:cs="宋体"/>
    </w:rPr>
  </w:style>
  <w:style w:type="paragraph" w:customStyle="1" w:styleId="78">
    <w:name w:val="标准文件_三级无标题"/>
    <w:basedOn w:val="73"/>
    <w:qFormat/>
    <w:uiPriority w:val="0"/>
    <w:pPr>
      <w:spacing w:before="4" w:beforeLines="1" w:after="4" w:afterLines="1"/>
      <w:outlineLvl w:val="9"/>
    </w:pPr>
    <w:rPr>
      <w:rFonts w:ascii="宋体" w:hAnsi="宋体" w:eastAsia="宋体" w:cs="宋体"/>
    </w:rPr>
  </w:style>
  <w:style w:type="paragraph" w:customStyle="1" w:styleId="79">
    <w:name w:val="标准文件_四级无标题"/>
    <w:basedOn w:val="74"/>
    <w:qFormat/>
    <w:uiPriority w:val="0"/>
    <w:pPr>
      <w:spacing w:before="4" w:beforeLines="1" w:after="4" w:afterLines="1"/>
      <w:outlineLvl w:val="9"/>
    </w:pPr>
    <w:rPr>
      <w:rFonts w:ascii="宋体" w:hAnsi="宋体" w:eastAsia="宋体" w:cs="宋体"/>
    </w:rPr>
  </w:style>
  <w:style w:type="paragraph" w:customStyle="1" w:styleId="80">
    <w:name w:val="标准文件_五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术语条一"/>
    <w:basedOn w:val="76"/>
    <w:next w:val="23"/>
    <w:qFormat/>
    <w:uiPriority w:val="0"/>
    <w:pPr>
      <w:ind w:left="960" w:hanging="960" w:hangingChars="200"/>
    </w:pPr>
    <w:rPr>
      <w:rFonts w:ascii="黑体" w:hAnsi="黑体" w:eastAsia="黑体" w:cs="黑体"/>
    </w:rPr>
  </w:style>
  <w:style w:type="paragraph" w:customStyle="1" w:styleId="82">
    <w:name w:val="标准文件_术语条二"/>
    <w:basedOn w:val="77"/>
    <w:next w:val="23"/>
    <w:qFormat/>
    <w:uiPriority w:val="0"/>
    <w:pPr>
      <w:ind w:left="960" w:hanging="960" w:hangingChars="200"/>
    </w:pPr>
    <w:rPr>
      <w:rFonts w:ascii="黑体" w:hAnsi="黑体" w:eastAsia="黑体" w:cs="黑体"/>
    </w:rPr>
  </w:style>
  <w:style w:type="paragraph" w:customStyle="1" w:styleId="83">
    <w:name w:val="标准文件_术语条三"/>
    <w:basedOn w:val="78"/>
    <w:next w:val="23"/>
    <w:qFormat/>
    <w:uiPriority w:val="0"/>
    <w:pPr>
      <w:ind w:left="960" w:hanging="960" w:hangingChars="200"/>
    </w:pPr>
    <w:rPr>
      <w:rFonts w:ascii="黑体" w:hAnsi="黑体" w:eastAsia="黑体" w:cs="黑体"/>
    </w:rPr>
  </w:style>
  <w:style w:type="paragraph" w:customStyle="1" w:styleId="84">
    <w:name w:val="标准文件_术语条四"/>
    <w:basedOn w:val="79"/>
    <w:next w:val="23"/>
    <w:qFormat/>
    <w:uiPriority w:val="0"/>
    <w:pPr>
      <w:ind w:left="960" w:hanging="960" w:hangingChars="200"/>
    </w:pPr>
    <w:rPr>
      <w:rFonts w:ascii="黑体" w:hAnsi="黑体" w:eastAsia="黑体" w:cs="黑体"/>
    </w:rPr>
  </w:style>
  <w:style w:type="paragraph" w:customStyle="1" w:styleId="85">
    <w:name w:val="标准文件_术语条五"/>
    <w:basedOn w:val="80"/>
    <w:next w:val="23"/>
    <w:qFormat/>
    <w:uiPriority w:val="0"/>
    <w:pPr>
      <w:ind w:left="960" w:hanging="960" w:hangingChars="200"/>
    </w:pPr>
    <w:rPr>
      <w:rFonts w:ascii="黑体" w:hAnsi="黑体" w:eastAsia="黑体" w:cs="黑体"/>
    </w:rPr>
  </w:style>
  <w:style w:type="paragraph" w:customStyle="1" w:styleId="86">
    <w:name w:val="标准文件_附录标识"/>
    <w:basedOn w:val="1"/>
    <w:next w:val="23"/>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87">
    <w:name w:val="标准文件_附录一级条标题"/>
    <w:next w:val="23"/>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88">
    <w:name w:val="标准文件_附录二级条标题"/>
    <w:next w:val="23"/>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89">
    <w:name w:val="标准文件_附录三级条标题"/>
    <w:next w:val="23"/>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0">
    <w:name w:val="标准文件_附录四级条标题"/>
    <w:next w:val="23"/>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五级条标题"/>
    <w:next w:val="23"/>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一级无标题"/>
    <w:basedOn w:val="87"/>
    <w:qFormat/>
    <w:uiPriority w:val="0"/>
    <w:pPr>
      <w:spacing w:before="4" w:beforeLines="1" w:after="4" w:afterLines="1" w:line="276" w:lineRule="auto"/>
    </w:pPr>
    <w:rPr>
      <w:rFonts w:ascii="宋体" w:hAnsi="宋体" w:eastAsia="宋体" w:cs="宋体"/>
    </w:rPr>
  </w:style>
  <w:style w:type="paragraph" w:customStyle="1" w:styleId="93">
    <w:name w:val="标准文件_附录二级无标题"/>
    <w:basedOn w:val="88"/>
    <w:qFormat/>
    <w:uiPriority w:val="0"/>
    <w:pPr>
      <w:spacing w:before="4" w:beforeLines="1" w:after="4" w:afterLines="1" w:line="276" w:lineRule="auto"/>
    </w:pPr>
    <w:rPr>
      <w:rFonts w:ascii="宋体" w:hAnsi="宋体" w:eastAsia="宋体" w:cs="宋体"/>
    </w:rPr>
  </w:style>
  <w:style w:type="paragraph" w:customStyle="1" w:styleId="94">
    <w:name w:val="标准文件_附录三级无标题"/>
    <w:basedOn w:val="89"/>
    <w:qFormat/>
    <w:uiPriority w:val="0"/>
    <w:pPr>
      <w:spacing w:before="4" w:beforeLines="1" w:after="4" w:afterLines="1" w:line="276" w:lineRule="auto"/>
    </w:pPr>
    <w:rPr>
      <w:rFonts w:ascii="宋体" w:hAnsi="宋体" w:eastAsia="宋体" w:cs="宋体"/>
    </w:rPr>
  </w:style>
  <w:style w:type="paragraph" w:customStyle="1" w:styleId="95">
    <w:name w:val="标准文件_附录四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五级无标题"/>
    <w:basedOn w:val="91"/>
    <w:qFormat/>
    <w:uiPriority w:val="0"/>
    <w:pPr>
      <w:spacing w:before="4" w:beforeLines="1" w:after="4" w:afterLines="1" w:line="276" w:lineRule="auto"/>
    </w:pPr>
    <w:rPr>
      <w:rFonts w:ascii="宋体" w:hAnsi="宋体" w:eastAsia="宋体" w:cs="宋体"/>
    </w:rPr>
  </w:style>
  <w:style w:type="paragraph" w:customStyle="1" w:styleId="97">
    <w:name w:val="附录图标号"/>
    <w:basedOn w:val="23"/>
    <w:next w:val="23"/>
    <w:qFormat/>
    <w:uiPriority w:val="0"/>
    <w:pPr>
      <w:numPr>
        <w:ilvl w:val="0"/>
        <w:numId w:val="2"/>
      </w:numPr>
      <w:spacing w:line="14" w:lineRule="exact"/>
      <w:ind w:left="0"/>
      <w:jc w:val="center"/>
    </w:pPr>
    <w:rPr>
      <w:sz w:val="2"/>
    </w:rPr>
  </w:style>
  <w:style w:type="paragraph" w:customStyle="1" w:styleId="98">
    <w:name w:val="附录图标题"/>
    <w:next w:val="23"/>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99">
    <w:name w:val="附录表标号"/>
    <w:basedOn w:val="23"/>
    <w:next w:val="23"/>
    <w:qFormat/>
    <w:uiPriority w:val="0"/>
    <w:pPr>
      <w:numPr>
        <w:ilvl w:val="0"/>
        <w:numId w:val="9"/>
      </w:numPr>
      <w:spacing w:line="14" w:lineRule="exact"/>
      <w:ind w:left="0"/>
      <w:jc w:val="center"/>
    </w:pPr>
    <w:rPr>
      <w:sz w:val="2"/>
    </w:rPr>
  </w:style>
  <w:style w:type="paragraph" w:customStyle="1" w:styleId="100">
    <w:name w:val="附录表标题"/>
    <w:next w:val="23"/>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1">
    <w:name w:val="标准文件_示例内容"/>
    <w:basedOn w:val="23"/>
    <w:qFormat/>
    <w:uiPriority w:val="0"/>
    <w:pPr>
      <w:suppressAutoHyphens w:val="0"/>
    </w:pPr>
    <w:rPr>
      <w:rFonts w:hAnsi="宋体"/>
      <w:sz w:val="18"/>
    </w:rPr>
  </w:style>
  <w:style w:type="paragraph" w:customStyle="1" w:styleId="102">
    <w:name w:val="标准文件_示例"/>
    <w:next w:val="101"/>
    <w:qFormat/>
    <w:uiPriority w:val="0"/>
    <w:pPr>
      <w:numPr>
        <w:ilvl w:val="0"/>
        <w:numId w:val="10"/>
      </w:numPr>
      <w:suppressAutoHyphens w:val="0"/>
      <w:jc w:val="both"/>
    </w:pPr>
    <w:rPr>
      <w:rFonts w:hint="eastAsia" w:ascii="宋体" w:hAnsi="宋体" w:eastAsia="宋体" w:cs="宋体"/>
      <w:sz w:val="18"/>
    </w:rPr>
  </w:style>
  <w:style w:type="paragraph" w:customStyle="1" w:styleId="103">
    <w:name w:val="标准文件_示例×"/>
    <w:basedOn w:val="1"/>
    <w:next w:val="101"/>
    <w:qFormat/>
    <w:uiPriority w:val="0"/>
    <w:pPr>
      <w:widowControl/>
      <w:numPr>
        <w:ilvl w:val="0"/>
        <w:numId w:val="11"/>
      </w:numPr>
      <w:suppressAutoHyphens w:val="0"/>
      <w:ind w:firstLine="363"/>
    </w:pPr>
    <w:rPr>
      <w:rFonts w:hAnsi="宋体"/>
      <w:sz w:val="18"/>
    </w:rPr>
  </w:style>
  <w:style w:type="paragraph" w:customStyle="1" w:styleId="104">
    <w:name w:val="标准文件_注"/>
    <w:next w:val="23"/>
    <w:qFormat/>
    <w:uiPriority w:val="0"/>
    <w:pPr>
      <w:numPr>
        <w:ilvl w:val="0"/>
        <w:numId w:val="12"/>
      </w:numPr>
      <w:autoSpaceDE w:val="0"/>
      <w:autoSpaceDN w:val="0"/>
      <w:jc w:val="both"/>
    </w:pPr>
    <w:rPr>
      <w:rFonts w:hint="eastAsia" w:ascii="宋体" w:hAnsi="宋体" w:eastAsia="宋体" w:cs="宋体"/>
      <w:sz w:val="18"/>
    </w:rPr>
  </w:style>
  <w:style w:type="paragraph" w:customStyle="1" w:styleId="105">
    <w:name w:val="标准文件_注×"/>
    <w:next w:val="23"/>
    <w:qFormat/>
    <w:uiPriority w:val="0"/>
    <w:pPr>
      <w:numPr>
        <w:ilvl w:val="0"/>
        <w:numId w:val="13"/>
      </w:numPr>
      <w:jc w:val="both"/>
    </w:pPr>
    <w:rPr>
      <w:rFonts w:hint="eastAsia" w:ascii="宋体" w:hAnsi="宋体" w:eastAsia="宋体" w:cs="宋体"/>
      <w:sz w:val="18"/>
    </w:rPr>
  </w:style>
  <w:style w:type="paragraph" w:customStyle="1" w:styleId="106">
    <w:name w:val="标准文件_图表脚注"/>
    <w:basedOn w:val="1"/>
    <w:next w:val="23"/>
    <w:qFormat/>
    <w:uiPriority w:val="0"/>
    <w:pPr>
      <w:numPr>
        <w:ilvl w:val="0"/>
        <w:numId w:val="14"/>
      </w:numPr>
      <w:suppressAutoHyphens w:val="0"/>
      <w:adjustRightInd w:val="0"/>
      <w:jc w:val="left"/>
    </w:pPr>
    <w:rPr>
      <w:rFonts w:hAnsi="宋体"/>
      <w:sz w:val="18"/>
    </w:rPr>
  </w:style>
  <w:style w:type="paragraph" w:customStyle="1" w:styleId="107">
    <w:name w:val="标准文件_标准正文"/>
    <w:basedOn w:val="1"/>
    <w:next w:val="23"/>
    <w:qFormat/>
    <w:uiPriority w:val="0"/>
    <w:pPr>
      <w:ind w:firstLine="960" w:firstLineChars="200"/>
    </w:pPr>
  </w:style>
  <w:style w:type="paragraph" w:customStyle="1" w:styleId="108">
    <w:name w:val="标准文件_正文公式"/>
    <w:basedOn w:val="1"/>
    <w:next w:val="107"/>
    <w:qFormat/>
    <w:uiPriority w:val="0"/>
    <w:pPr>
      <w:tabs>
        <w:tab w:val="center" w:pos="4678"/>
        <w:tab w:val="right" w:leader="middleDot" w:pos="9355"/>
      </w:tabs>
    </w:pPr>
  </w:style>
  <w:style w:type="paragraph" w:customStyle="1" w:styleId="109">
    <w:name w:val="标准文件_表格"/>
    <w:basedOn w:val="23"/>
    <w:qFormat/>
    <w:uiPriority w:val="0"/>
    <w:pPr>
      <w:jc w:val="center"/>
    </w:pPr>
    <w:rPr>
      <w:sz w:val="18"/>
    </w:rPr>
  </w:style>
  <w:style w:type="paragraph" w:customStyle="1" w:styleId="110">
    <w:name w:val="终结线"/>
    <w:basedOn w:val="1"/>
    <w:qFormat/>
    <w:uiPriority w:val="0"/>
    <w:pPr>
      <w:framePr w:hSpace="181" w:vSpace="181" w:wrap="around" w:vAnchor="text" w:hAnchor="margin" w:xAlign="center" w:y="285"/>
    </w:pPr>
    <w:rPr>
      <w:rFonts w:ascii="Times New Roman" w:hAnsi="Times New Roman" w:cs="Times New Roman"/>
      <w:sz w:val="34"/>
    </w:rPr>
  </w:style>
  <w:style w:type="paragraph" w:customStyle="1" w:styleId="111">
    <w:name w:val="标准文件_正文表标题"/>
    <w:next w:val="23"/>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2">
    <w:name w:val="标准文件_正文图标题"/>
    <w:next w:val="23"/>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3">
    <w:name w:val="标准文件_索引标题"/>
    <w:basedOn w:val="32"/>
    <w:next w:val="23"/>
    <w:qFormat/>
    <w:uiPriority w:val="0"/>
    <w:rPr>
      <w:rFonts w:hAnsi="黑体"/>
    </w:rPr>
  </w:style>
  <w:style w:type="paragraph" w:customStyle="1" w:styleId="114">
    <w:name w:val="标准文件_索引项"/>
    <w:basedOn w:val="23"/>
    <w:next w:val="23"/>
    <w:qFormat/>
    <w:uiPriority w:val="0"/>
    <w:pPr>
      <w:tabs>
        <w:tab w:val="right" w:leader="dot" w:pos="9355"/>
      </w:tabs>
      <w:autoSpaceDE w:val="0"/>
      <w:autoSpaceDN w:val="0"/>
      <w:ind w:left="177" w:hanging="177" w:hangingChars="37"/>
      <w:jc w:val="left"/>
    </w:pPr>
  </w:style>
  <w:style w:type="paragraph" w:customStyle="1" w:styleId="115">
    <w:name w:val="标准文件_索引字母"/>
    <w:next w:val="23"/>
    <w:qFormat/>
    <w:uiPriority w:val="0"/>
    <w:pPr>
      <w:jc w:val="center"/>
    </w:pPr>
    <w:rPr>
      <w:rFonts w:hint="eastAsia" w:ascii="宋体" w:hAnsi="宋体" w:eastAsia="宋体" w:cs="宋体"/>
      <w:b/>
      <w:kern w:val="2"/>
      <w:sz w:val="21"/>
    </w:rPr>
  </w:style>
  <w:style w:type="paragraph" w:customStyle="1" w:styleId="116">
    <w:name w:val="标准文件_提示"/>
    <w:basedOn w:val="1"/>
    <w:qFormat/>
    <w:uiPriority w:val="0"/>
    <w:pPr>
      <w:ind w:firstLine="960" w:firstLineChars="200"/>
    </w:pPr>
    <w:rPr>
      <w:rFonts w:ascii="黑体" w:hAnsi="黑体" w:eastAsia="黑体" w:cs="黑体"/>
    </w:rPr>
  </w:style>
  <w:style w:type="paragraph" w:customStyle="1" w:styleId="117">
    <w:name w:val="标准文件_参考文献编号"/>
    <w:basedOn w:val="23"/>
    <w:qFormat/>
    <w:uiPriority w:val="0"/>
    <w:pPr>
      <w:numPr>
        <w:ilvl w:val="0"/>
        <w:numId w:val="17"/>
      </w:numPr>
    </w:pPr>
  </w:style>
  <w:style w:type="character" w:customStyle="1" w:styleId="118">
    <w:name w:val="标准文件_正文标准名称 Char"/>
    <w:link w:val="54"/>
    <w:qFormat/>
    <w:uiPriority w:val="0"/>
    <w:rPr>
      <w:rFonts w:ascii="黑体" w:hAnsi="黑体" w:eastAsia="黑体" w:cs="黑体"/>
      <w:sz w:val="3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jpeg"/><Relationship Id="rId11" Type="http://schemas.openxmlformats.org/officeDocument/2006/relationships/image" Target="media/image4.png"/><Relationship Id="rId10" Type="http://schemas.openxmlformats.org/officeDocument/2006/relationships/image" Target="media/image3.wmf"/><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7f01786-c39e-4c03-a823-aeec898ea602}"/>
        <w:style w:val=""/>
        <w:category>
          <w:name w:val="常规"/>
          <w:gallery w:val="placeholder"/>
        </w:category>
        <w:types>
          <w:type w:val="bbPlcHdr"/>
        </w:types>
        <w:behaviors>
          <w:behavior w:val="content"/>
        </w:behaviors>
        <w:description w:val=""/>
        <w:guid w:val="{c7f01786-c39e-4c03-a823-aeec898ea602}"/>
      </w:docPartPr>
      <w:docPartBody>
        <w:p>
          <w:r>
            <w:rPr>
              <w:color w:val="808080"/>
            </w:rPr>
            <w:t>选择一项。</w:t>
          </w:r>
        </w:p>
      </w:docPartBody>
    </w:docPart>
    <w:docPart>
      <w:docPartPr>
        <w:name w:val="{48053f4b-3934-423c-90f4-9a793c6ff88a}"/>
        <w:style w:val=""/>
        <w:category>
          <w:name w:val="常规"/>
          <w:gallery w:val="placeholder"/>
        </w:category>
        <w:types>
          <w:type w:val="bbPlcHdr"/>
        </w:types>
        <w:behaviors>
          <w:behavior w:val="content"/>
        </w:behaviors>
        <w:description w:val=""/>
        <w:guid w:val="{48053f4b-3934-423c-90f4-9a793c6ff88a}"/>
      </w:docPartPr>
      <w:docPartBody>
        <w:p>
          <w:r>
            <w:rPr>
              <w:color w:val="808080"/>
            </w:rPr>
            <w:t>选择一项。</w:t>
          </w:r>
        </w:p>
      </w:docPartBody>
    </w:docPart>
    <w:docPart>
      <w:docPartPr>
        <w:name w:val="{1a9da93a-67bb-40c7-bef3-0162ea5a14b7}"/>
        <w:style w:val=""/>
        <w:category>
          <w:name w:val="常规"/>
          <w:gallery w:val="placeholder"/>
        </w:category>
        <w:types>
          <w:type w:val="bbPlcHdr"/>
        </w:types>
        <w:behaviors>
          <w:behavior w:val="content"/>
        </w:behaviors>
        <w:description w:val=""/>
        <w:guid w:val="{1a9da93a-67bb-40c7-bef3-0162ea5a14b7}"/>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5</TotalTime>
  <ScaleCrop>false</ScaleCrop>
  <LinksUpToDate>false</LinksUpToDate>
  <CharactersWithSpaces>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2024-10-29T18:07:00Z</dcterms:created>
  <dc:creator>ring</dc:creator>
  <cp:lastModifiedBy>baixin</cp:lastModifiedBy>
  <dcterms:modified xsi:type="dcterms:W3CDTF">2024-10-29T11:02:21Z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A1C9034912354C6FAB1B95CA916225D8_11</vt:lpwstr>
  </property>
</Properties>
</file>